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小标宋简体" w:eastAsia="方正小标宋简体"/>
          <w:sz w:val="44"/>
          <w:szCs w:val="44"/>
        </w:rPr>
        <w:sectPr>
          <w:footerReference r:id="rId7" w:type="first"/>
          <w:headerReference r:id="rId3" w:type="default"/>
          <w:footerReference r:id="rId5" w:type="default"/>
          <w:headerReference r:id="rId4" w:type="even"/>
          <w:footerReference r:id="rId6" w:type="even"/>
          <w:pgSz w:w="11906" w:h="16838"/>
          <w:pgMar w:top="1560" w:right="1531" w:bottom="1588" w:left="1531" w:header="1020" w:footer="992" w:gutter="0"/>
          <w:pgNumType w:start="1"/>
          <w:cols w:space="720" w:num="1"/>
          <w:docGrid w:type="lines" w:linePitch="312" w:charSpace="0"/>
        </w:sectPr>
      </w:pPr>
      <w:bookmarkStart w:id="0" w:name="_Toc166238689"/>
      <w:bookmarkStart w:id="1" w:name="_Toc103345058"/>
      <w:r>
        <w:rPr>
          <w:sz w:val="44"/>
        </w:rPr>
        <mc:AlternateContent>
          <mc:Choice Requires="wps">
            <w:drawing>
              <wp:anchor distT="0" distB="0" distL="114300" distR="114300" simplePos="0" relativeHeight="251659264" behindDoc="0" locked="0" layoutInCell="1" allowOverlap="1">
                <wp:simplePos x="0" y="0"/>
                <wp:positionH relativeFrom="column">
                  <wp:posOffset>1593215</wp:posOffset>
                </wp:positionH>
                <wp:positionV relativeFrom="paragraph">
                  <wp:posOffset>7305675</wp:posOffset>
                </wp:positionV>
                <wp:extent cx="2439035" cy="485140"/>
                <wp:effectExtent l="4445" t="4445" r="13970" b="571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439035" cy="485140"/>
                        </a:xfrm>
                        <a:prstGeom prst="rect">
                          <a:avLst/>
                        </a:prstGeom>
                        <a:solidFill>
                          <a:srgbClr val="FFFFFF"/>
                        </a:solidFill>
                        <a:ln w="9525">
                          <a:solidFill>
                            <a:srgbClr val="FFFFFF"/>
                          </a:solidFill>
                          <a:miter lim="800000"/>
                        </a:ln>
                      </wps:spPr>
                      <wps:txbx>
                        <w:txbxContent>
                          <w:p>
                            <w:pPr>
                              <w:jc w:val="center"/>
                              <w:rPr>
                                <w:rFonts w:ascii="黑体" w:hAnsi="黑体" w:eastAsia="黑体"/>
                                <w:sz w:val="36"/>
                                <w:szCs w:val="36"/>
                              </w:rPr>
                            </w:pPr>
                            <w:r>
                              <w:rPr>
                                <w:rFonts w:hint="eastAsia" w:ascii="黑体" w:hAnsi="黑体" w:eastAsia="黑体"/>
                                <w:sz w:val="36"/>
                                <w:szCs w:val="36"/>
                              </w:rPr>
                              <w:t>二〇二</w:t>
                            </w:r>
                            <w:r>
                              <w:rPr>
                                <w:rFonts w:hint="eastAsia" w:ascii="黑体" w:hAnsi="黑体" w:eastAsia="黑体"/>
                                <w:sz w:val="36"/>
                                <w:szCs w:val="36"/>
                                <w:lang w:val="en-US" w:eastAsia="zh-CN"/>
                              </w:rPr>
                              <w:t>五</w:t>
                            </w:r>
                            <w:r>
                              <w:rPr>
                                <w:rFonts w:hint="eastAsia" w:ascii="黑体" w:hAnsi="黑体" w:eastAsia="黑体"/>
                                <w:sz w:val="36"/>
                                <w:szCs w:val="36"/>
                              </w:rPr>
                              <w:t>年</w:t>
                            </w:r>
                            <w:r>
                              <w:rPr>
                                <w:rFonts w:hint="eastAsia" w:ascii="黑体" w:hAnsi="黑体" w:eastAsia="黑体"/>
                                <w:sz w:val="36"/>
                                <w:szCs w:val="36"/>
                                <w:lang w:val="en-US" w:eastAsia="zh-CN"/>
                              </w:rPr>
                              <w:t>四</w:t>
                            </w:r>
                            <w:r>
                              <w:rPr>
                                <w:rFonts w:hint="eastAsia" w:ascii="黑体" w:hAnsi="黑体" w:eastAsia="黑体"/>
                                <w:sz w:val="36"/>
                                <w:szCs w:val="36"/>
                              </w:rPr>
                              <w:t>月</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25.45pt;margin-top:575.25pt;height:38.2pt;width:192.05pt;z-index:251659264;mso-width-relative:page;mso-height-relative:page;" fillcolor="#FFFFFF" filled="t" stroked="t" coordsize="21600,21600" o:gfxdata="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g&#10;v9gZ2gAAAA0BAAAPAAAAAAAAAAEAIAAAACIAAABkcnMvZG93bnJldi54bWxQSwECFAAUAAAACACH&#10;TuJAWylJkyICAAA5BAAADgAAAAAAAAABACAAAAApAQAAZHJzL2Uyb0RvYy54bWxQSwUGAAAAAAYA&#10;BgBZAQAAvQUAAAAA&#10;">
                <v:fill on="t" focussize="0,0"/>
                <v:stroke color="#FFFFFF" miterlimit="8" joinstyle="miter"/>
                <v:imagedata o:title=""/>
                <o:lock v:ext="edit" aspectratio="f"/>
                <v:textbox>
                  <w:txbxContent>
                    <w:p>
                      <w:pPr>
                        <w:jc w:val="center"/>
                        <w:rPr>
                          <w:rFonts w:ascii="黑体" w:hAnsi="黑体" w:eastAsia="黑体"/>
                          <w:sz w:val="36"/>
                          <w:szCs w:val="36"/>
                        </w:rPr>
                      </w:pPr>
                      <w:r>
                        <w:rPr>
                          <w:rFonts w:hint="eastAsia" w:ascii="黑体" w:hAnsi="黑体" w:eastAsia="黑体"/>
                          <w:sz w:val="36"/>
                          <w:szCs w:val="36"/>
                        </w:rPr>
                        <w:t>二〇二</w:t>
                      </w:r>
                      <w:r>
                        <w:rPr>
                          <w:rFonts w:hint="eastAsia" w:ascii="黑体" w:hAnsi="黑体" w:eastAsia="黑体"/>
                          <w:sz w:val="36"/>
                          <w:szCs w:val="36"/>
                          <w:lang w:val="en-US" w:eastAsia="zh-CN"/>
                        </w:rPr>
                        <w:t>五</w:t>
                      </w:r>
                      <w:r>
                        <w:rPr>
                          <w:rFonts w:hint="eastAsia" w:ascii="黑体" w:hAnsi="黑体" w:eastAsia="黑体"/>
                          <w:sz w:val="36"/>
                          <w:szCs w:val="36"/>
                        </w:rPr>
                        <w:t>年</w:t>
                      </w:r>
                      <w:r>
                        <w:rPr>
                          <w:rFonts w:hint="eastAsia" w:ascii="黑体" w:hAnsi="黑体" w:eastAsia="黑体"/>
                          <w:sz w:val="36"/>
                          <w:szCs w:val="36"/>
                          <w:lang w:val="en-US" w:eastAsia="zh-CN"/>
                        </w:rPr>
                        <w:t>四</w:t>
                      </w:r>
                      <w:r>
                        <w:rPr>
                          <w:rFonts w:hint="eastAsia" w:ascii="黑体" w:hAnsi="黑体" w:eastAsia="黑体"/>
                          <w:sz w:val="36"/>
                          <w:szCs w:val="36"/>
                        </w:rPr>
                        <w:t>月</w:t>
                      </w:r>
                    </w:p>
                  </w:txbxContent>
                </v:textbox>
              </v:shape>
            </w:pict>
          </mc:Fallback>
        </mc:AlternateContent>
      </w:r>
      <w:r>
        <mc:AlternateContent>
          <mc:Choice Requires="wps">
            <w:drawing>
              <wp:anchor distT="45720" distB="45720" distL="114300" distR="114300" simplePos="0" relativeHeight="251660288" behindDoc="0" locked="0" layoutInCell="1" allowOverlap="1">
                <wp:simplePos x="0" y="0"/>
                <wp:positionH relativeFrom="column">
                  <wp:posOffset>227965</wp:posOffset>
                </wp:positionH>
                <wp:positionV relativeFrom="paragraph">
                  <wp:posOffset>2634615</wp:posOffset>
                </wp:positionV>
                <wp:extent cx="5158740" cy="1874520"/>
                <wp:effectExtent l="0" t="0" r="3810" b="11430"/>
                <wp:wrapSquare wrapText="bothSides"/>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5158740" cy="1874520"/>
                        </a:xfrm>
                        <a:prstGeom prst="rect">
                          <a:avLst/>
                        </a:prstGeom>
                        <a:solidFill>
                          <a:srgbClr val="FFFFFF"/>
                        </a:solidFill>
                        <a:ln>
                          <a:noFill/>
                        </a:ln>
                      </wps:spPr>
                      <wps:txbx>
                        <w:txbxContent>
                          <w:p>
                            <w:pPr>
                              <w:jc w:val="center"/>
                              <w:rPr>
                                <w:rFonts w:ascii="方正小标宋简体" w:eastAsia="方正小标宋简体"/>
                                <w:spacing w:val="100"/>
                                <w:sz w:val="84"/>
                                <w:szCs w:val="84"/>
                                <w:lang w:val="zh-CN"/>
                              </w:rPr>
                            </w:pPr>
                            <w:r>
                              <w:rPr>
                                <w:rFonts w:hint="eastAsia" w:ascii="方正小标宋简体" w:eastAsia="方正小标宋简体"/>
                                <w:spacing w:val="100"/>
                                <w:sz w:val="84"/>
                                <w:szCs w:val="84"/>
                                <w:lang w:val="zh-CN"/>
                              </w:rPr>
                              <w:t>校务公开报告</w:t>
                            </w:r>
                          </w:p>
                          <w:p>
                            <w:pPr>
                              <w:jc w:val="center"/>
                              <w:rPr>
                                <w:rFonts w:ascii="方正小标宋简体" w:eastAsia="方正小标宋简体"/>
                                <w:spacing w:val="20"/>
                                <w:sz w:val="72"/>
                                <w:szCs w:val="72"/>
                              </w:rPr>
                            </w:pPr>
                            <w:r>
                              <w:rPr>
                                <w:rFonts w:hint="eastAsia" w:ascii="方正小标宋简体" w:eastAsia="方正小标宋简体"/>
                                <w:spacing w:val="20"/>
                                <w:sz w:val="72"/>
                                <w:szCs w:val="72"/>
                                <w:lang w:val="zh-CN"/>
                              </w:rPr>
                              <w:t>（20</w:t>
                            </w:r>
                            <w:r>
                              <w:rPr>
                                <w:rFonts w:ascii="方正小标宋简体" w:eastAsia="方正小标宋简体"/>
                                <w:spacing w:val="20"/>
                                <w:sz w:val="72"/>
                                <w:szCs w:val="72"/>
                                <w:lang w:val="zh-CN"/>
                              </w:rPr>
                              <w:t>2</w:t>
                            </w:r>
                            <w:r>
                              <w:rPr>
                                <w:rFonts w:hint="eastAsia" w:ascii="方正小标宋简体" w:eastAsia="方正小标宋简体"/>
                                <w:spacing w:val="20"/>
                                <w:sz w:val="72"/>
                                <w:szCs w:val="72"/>
                                <w:lang w:val="en-US" w:eastAsia="zh-CN"/>
                              </w:rPr>
                              <w:t>4</w:t>
                            </w:r>
                            <w:r>
                              <w:rPr>
                                <w:rFonts w:hint="eastAsia" w:ascii="方正小标宋简体" w:eastAsia="方正小标宋简体"/>
                                <w:spacing w:val="20"/>
                                <w:sz w:val="72"/>
                                <w:szCs w:val="72"/>
                                <w:lang w:val="zh-CN"/>
                              </w:rPr>
                              <w:t>年度）</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17.95pt;margin-top:207.45pt;height:147.6pt;width:406.2pt;mso-wrap-distance-bottom:3.6pt;mso-wrap-distance-left:9pt;mso-wrap-distance-right:9pt;mso-wrap-distance-top:3.6pt;z-index:251660288;mso-width-relative:page;mso-height-relative:margin;mso-height-percent:200;" fillcolor="#FFFFFF" filled="t" stroked="f" coordsize="21600,21600" o:gfxdata="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oOKkK9gAAAAKAQAADwAAAAAAAAABACAA&#10;AAAiAAAAZHJzL2Rvd25yZXYueG1sUEsBAhQAFAAAAAgAh07iQEYSAtMNAgAA8QMAAA4AAAAAAAAA&#10;AQAgAAAAJwEAAGRycy9lMm9Eb2MueG1sUEsFBgAAAAAGAAYAWQEAAKYFAAAAAA==&#10;">
                <v:fill on="t" focussize="0,0"/>
                <v:stroke on="f"/>
                <v:imagedata o:title=""/>
                <o:lock v:ext="edit" aspectratio="f"/>
                <v:textbox style="mso-fit-shape-to-text:t;">
                  <w:txbxContent>
                    <w:p>
                      <w:pPr>
                        <w:jc w:val="center"/>
                        <w:rPr>
                          <w:rFonts w:ascii="方正小标宋简体" w:eastAsia="方正小标宋简体"/>
                          <w:spacing w:val="100"/>
                          <w:sz w:val="84"/>
                          <w:szCs w:val="84"/>
                          <w:lang w:val="zh-CN"/>
                        </w:rPr>
                      </w:pPr>
                      <w:r>
                        <w:rPr>
                          <w:rFonts w:hint="eastAsia" w:ascii="方正小标宋简体" w:eastAsia="方正小标宋简体"/>
                          <w:spacing w:val="100"/>
                          <w:sz w:val="84"/>
                          <w:szCs w:val="84"/>
                          <w:lang w:val="zh-CN"/>
                        </w:rPr>
                        <w:t>校务公开报告</w:t>
                      </w:r>
                    </w:p>
                    <w:p>
                      <w:pPr>
                        <w:jc w:val="center"/>
                        <w:rPr>
                          <w:rFonts w:ascii="方正小标宋简体" w:eastAsia="方正小标宋简体"/>
                          <w:spacing w:val="20"/>
                          <w:sz w:val="72"/>
                          <w:szCs w:val="72"/>
                        </w:rPr>
                      </w:pPr>
                      <w:r>
                        <w:rPr>
                          <w:rFonts w:hint="eastAsia" w:ascii="方正小标宋简体" w:eastAsia="方正小标宋简体"/>
                          <w:spacing w:val="20"/>
                          <w:sz w:val="72"/>
                          <w:szCs w:val="72"/>
                          <w:lang w:val="zh-CN"/>
                        </w:rPr>
                        <w:t>（20</w:t>
                      </w:r>
                      <w:r>
                        <w:rPr>
                          <w:rFonts w:ascii="方正小标宋简体" w:eastAsia="方正小标宋简体"/>
                          <w:spacing w:val="20"/>
                          <w:sz w:val="72"/>
                          <w:szCs w:val="72"/>
                          <w:lang w:val="zh-CN"/>
                        </w:rPr>
                        <w:t>2</w:t>
                      </w:r>
                      <w:r>
                        <w:rPr>
                          <w:rFonts w:hint="eastAsia" w:ascii="方正小标宋简体" w:eastAsia="方正小标宋简体"/>
                          <w:spacing w:val="20"/>
                          <w:sz w:val="72"/>
                          <w:szCs w:val="72"/>
                          <w:lang w:val="en-US" w:eastAsia="zh-CN"/>
                        </w:rPr>
                        <w:t>4</w:t>
                      </w:r>
                      <w:r>
                        <w:rPr>
                          <w:rFonts w:hint="eastAsia" w:ascii="方正小标宋简体" w:eastAsia="方正小标宋简体"/>
                          <w:spacing w:val="20"/>
                          <w:sz w:val="72"/>
                          <w:szCs w:val="72"/>
                          <w:lang w:val="zh-CN"/>
                        </w:rPr>
                        <w:t>年度）</w:t>
                      </w:r>
                    </w:p>
                  </w:txbxContent>
                </v:textbox>
                <w10:wrap type="square"/>
              </v:shape>
            </w:pict>
          </mc:Fallback>
        </mc:AlternateContent>
      </w:r>
      <w:r>
        <w:drawing>
          <wp:inline distT="0" distB="0" distL="0" distR="0">
            <wp:extent cx="4972050" cy="14668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972050" cy="1466850"/>
                    </a:xfrm>
                    <a:prstGeom prst="rect">
                      <a:avLst/>
                    </a:prstGeom>
                    <a:noFill/>
                    <a:ln>
                      <a:noFill/>
                    </a:ln>
                  </pic:spPr>
                </pic:pic>
              </a:graphicData>
            </a:graphic>
          </wp:inline>
        </w:drawing>
      </w:r>
      <w:bookmarkStart w:id="37" w:name="_GoBack"/>
      <w:bookmarkEnd w:id="37"/>
    </w:p>
    <w:p>
      <w:pPr>
        <w:ind w:firstLine="0"/>
        <w:jc w:val="center"/>
        <w:rPr>
          <w:rFonts w:hint="eastAsia" w:ascii="方正小标宋简体" w:hAnsi="方正小标宋简体" w:eastAsia="方正小标宋简体" w:cs="方正小标宋简体"/>
          <w:b/>
          <w:bCs/>
          <w:color w:val="auto"/>
          <w:kern w:val="2"/>
          <w:sz w:val="44"/>
          <w:szCs w:val="44"/>
          <w:lang w:val="en-US" w:eastAsia="zh-CN" w:bidi="ar-SA"/>
          <w14:ligatures w14:val="standardContextual"/>
        </w:rPr>
      </w:pPr>
      <w:r>
        <w:rPr>
          <w:rFonts w:hint="eastAsia" w:ascii="方正小标宋简体" w:hAnsi="方正小标宋简体" w:eastAsia="方正小标宋简体" w:cs="方正小标宋简体"/>
          <w:b/>
          <w:bCs/>
          <w:color w:val="auto"/>
          <w:kern w:val="2"/>
          <w:sz w:val="44"/>
          <w:szCs w:val="44"/>
          <w:lang w:val="en-US" w:eastAsia="zh-CN" w:bidi="ar-SA"/>
          <w14:ligatures w14:val="standardContextual"/>
        </w:rPr>
        <w:t>2024年财务管理工作公开报告</w:t>
      </w:r>
      <w:bookmarkEnd w:id="0"/>
      <w:bookmarkEnd w:id="1"/>
    </w:p>
    <w:p/>
    <w:p>
      <w:pPr>
        <w:keepNext w:val="0"/>
        <w:keepLines w:val="0"/>
        <w:pageBreakBefore w:val="0"/>
        <w:widowControl w:val="0"/>
        <w:kinsoku/>
        <w:wordWrap/>
        <w:overflowPunct/>
        <w:topLinePunct w:val="0"/>
        <w:autoSpaceDE/>
        <w:autoSpaceDN/>
        <w:bidi w:val="0"/>
        <w:adjustRightInd/>
        <w:snapToGrid/>
        <w:spacing w:line="560" w:lineRule="exact"/>
        <w:ind w:firstLine="561"/>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一、基本情况 </w:t>
      </w:r>
    </w:p>
    <w:p>
      <w:pPr>
        <w:keepNext w:val="0"/>
        <w:keepLines w:val="0"/>
        <w:pageBreakBefore w:val="0"/>
        <w:widowControl w:val="0"/>
        <w:kinsoku/>
        <w:wordWrap/>
        <w:overflowPunct/>
        <w:topLinePunct w:val="0"/>
        <w:autoSpaceDE/>
        <w:autoSpaceDN/>
        <w:bidi w:val="0"/>
        <w:adjustRightInd/>
        <w:snapToGrid/>
        <w:spacing w:line="560" w:lineRule="exact"/>
        <w:ind w:firstLine="56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近年来，学校财务工作聚焦高水平大学建设和高质量发展需求，坚持稳中求进工作总基调，按照“规范透明、服务发展、保障民生”原则，积极探索和打造与卓越大学建设相匹配的卓越财务管理体系，建设</w:t>
      </w:r>
      <w:r>
        <w:rPr>
          <w:rFonts w:hint="eastAsia" w:ascii="仿宋_GB2312" w:hAnsi="仿宋_GB2312" w:eastAsia="仿宋_GB2312" w:cs="仿宋_GB2312"/>
          <w:sz w:val="32"/>
          <w:szCs w:val="32"/>
          <w:cs/>
        </w:rPr>
        <w:t>“</w:t>
      </w:r>
      <w:r>
        <w:rPr>
          <w:rFonts w:hint="eastAsia" w:ascii="仿宋_GB2312" w:hAnsi="仿宋_GB2312" w:eastAsia="仿宋_GB2312" w:cs="仿宋_GB2312"/>
          <w:sz w:val="32"/>
          <w:szCs w:val="32"/>
        </w:rPr>
        <w:t>务实、高效、团结、廉洁</w:t>
      </w:r>
      <w:r>
        <w:rPr>
          <w:rFonts w:hint="eastAsia" w:ascii="仿宋_GB2312" w:hAnsi="仿宋_GB2312" w:eastAsia="仿宋_GB2312" w:cs="仿宋_GB2312"/>
          <w:sz w:val="32"/>
          <w:szCs w:val="32"/>
          <w:cs/>
        </w:rPr>
        <w:t>”</w:t>
      </w:r>
      <w:r>
        <w:rPr>
          <w:rFonts w:hint="eastAsia" w:ascii="仿宋_GB2312" w:hAnsi="仿宋_GB2312" w:eastAsia="仿宋_GB2312" w:cs="仿宋_GB2312"/>
          <w:sz w:val="32"/>
          <w:szCs w:val="32"/>
        </w:rPr>
        <w:t>的卓越财务管理团队，以校务公开为抓手，主动接受师生监督，持续优化资源配置，保障学校事业高质量发展。2024年度，学校总收入20.04亿元，总支出19.09亿元，年末结转资金0.95亿元，收支平衡，重点投向学科建设、人才培养、师资队伍和校园基建等领域，财务运行总体稳健。</w:t>
      </w:r>
    </w:p>
    <w:p>
      <w:pPr>
        <w:keepNext w:val="0"/>
        <w:keepLines w:val="0"/>
        <w:pageBreakBefore w:val="0"/>
        <w:widowControl w:val="0"/>
        <w:kinsoku/>
        <w:wordWrap/>
        <w:overflowPunct/>
        <w:topLinePunct w:val="0"/>
        <w:autoSpaceDE/>
        <w:autoSpaceDN/>
        <w:bidi w:val="0"/>
        <w:adjustRightInd/>
        <w:snapToGrid/>
        <w:spacing w:line="560" w:lineRule="exact"/>
        <w:ind w:firstLine="56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目前，学校财务信息主要通过学校文件、教代会财务工作报告、年鉴、年报、校志、部门工作总结、会议、校园网、财务网站、微信公众号、财务综合信息平台、财务服务手册等形式或渠道向校内进行公开，内容涵盖学校重大财务决策、年度财务预决算、收入支出管理、教育收费、政府采购管理等。 </w:t>
      </w:r>
    </w:p>
    <w:p>
      <w:pPr>
        <w:keepNext w:val="0"/>
        <w:keepLines w:val="0"/>
        <w:pageBreakBefore w:val="0"/>
        <w:widowControl w:val="0"/>
        <w:kinsoku/>
        <w:wordWrap/>
        <w:overflowPunct/>
        <w:topLinePunct w:val="0"/>
        <w:autoSpaceDE/>
        <w:autoSpaceDN/>
        <w:bidi w:val="0"/>
        <w:adjustRightInd/>
        <w:snapToGrid/>
        <w:spacing w:line="560" w:lineRule="exact"/>
        <w:ind w:firstLine="561"/>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二、工作举措 </w:t>
      </w:r>
    </w:p>
    <w:p>
      <w:pPr>
        <w:keepNext w:val="0"/>
        <w:keepLines w:val="0"/>
        <w:pageBreakBefore w:val="0"/>
        <w:widowControl w:val="0"/>
        <w:kinsoku/>
        <w:wordWrap/>
        <w:overflowPunct/>
        <w:topLinePunct w:val="0"/>
        <w:autoSpaceDE/>
        <w:autoSpaceDN/>
        <w:bidi w:val="0"/>
        <w:adjustRightInd/>
        <w:snapToGrid/>
        <w:spacing w:line="560" w:lineRule="exact"/>
        <w:ind w:firstLine="561"/>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1.学校重大财务决策 </w:t>
      </w:r>
    </w:p>
    <w:p>
      <w:pPr>
        <w:keepNext w:val="0"/>
        <w:keepLines w:val="0"/>
        <w:pageBreakBefore w:val="0"/>
        <w:widowControl w:val="0"/>
        <w:kinsoku/>
        <w:wordWrap/>
        <w:overflowPunct/>
        <w:topLinePunct w:val="0"/>
        <w:autoSpaceDE/>
        <w:autoSpaceDN/>
        <w:bidi w:val="0"/>
        <w:adjustRightInd/>
        <w:snapToGrid/>
        <w:spacing w:line="560" w:lineRule="exact"/>
        <w:ind w:firstLine="56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（1）决策程序透明化：先由任务牵头部门和计财处广泛开展调查研究，进行可行性论证并与校内相关部门充分沟通，形成建议草案，提交学校会议讨论决定。如有必要，还需报上级有关部门审批。</w:t>
      </w:r>
    </w:p>
    <w:p>
      <w:pPr>
        <w:keepNext w:val="0"/>
        <w:keepLines w:val="0"/>
        <w:pageBreakBefore w:val="0"/>
        <w:widowControl w:val="0"/>
        <w:kinsoku/>
        <w:wordWrap/>
        <w:overflowPunct/>
        <w:topLinePunct w:val="0"/>
        <w:autoSpaceDE/>
        <w:autoSpaceDN/>
        <w:bidi w:val="0"/>
        <w:adjustRightInd/>
        <w:snapToGrid/>
        <w:spacing w:line="560" w:lineRule="exact"/>
        <w:ind w:firstLine="56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（2）公开渠道：决策结果及时以学校文件、决议单等形式向校内进行公布。</w:t>
      </w:r>
    </w:p>
    <w:p>
      <w:pPr>
        <w:keepNext w:val="0"/>
        <w:keepLines w:val="0"/>
        <w:pageBreakBefore w:val="0"/>
        <w:widowControl w:val="0"/>
        <w:kinsoku/>
        <w:wordWrap/>
        <w:overflowPunct/>
        <w:topLinePunct w:val="0"/>
        <w:autoSpaceDE/>
        <w:autoSpaceDN/>
        <w:bidi w:val="0"/>
        <w:adjustRightInd/>
        <w:snapToGrid/>
        <w:spacing w:line="560" w:lineRule="exact"/>
        <w:ind w:firstLine="561"/>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2.年度财务预决算</w:t>
      </w:r>
    </w:p>
    <w:p>
      <w:pPr>
        <w:keepNext w:val="0"/>
        <w:keepLines w:val="0"/>
        <w:pageBreakBefore w:val="0"/>
        <w:widowControl w:val="0"/>
        <w:kinsoku/>
        <w:wordWrap/>
        <w:overflowPunct/>
        <w:topLinePunct w:val="0"/>
        <w:autoSpaceDE/>
        <w:autoSpaceDN/>
        <w:bidi w:val="0"/>
        <w:adjustRightInd/>
        <w:snapToGrid/>
        <w:spacing w:line="560" w:lineRule="exact"/>
        <w:ind w:firstLine="56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学校预算分为部门预算和校内预算。部门预算是学校根据省级财政部门的统一要求编制的全年财务收支计划；校内预算是对部门预算的具体细化，是学校根据事业发展需要编制的预算细化实施方案。</w:t>
      </w:r>
    </w:p>
    <w:p>
      <w:pPr>
        <w:keepNext w:val="0"/>
        <w:keepLines w:val="0"/>
        <w:pageBreakBefore w:val="0"/>
        <w:widowControl w:val="0"/>
        <w:kinsoku/>
        <w:wordWrap/>
        <w:overflowPunct/>
        <w:topLinePunct w:val="0"/>
        <w:autoSpaceDE/>
        <w:autoSpaceDN/>
        <w:bidi w:val="0"/>
        <w:adjustRightInd/>
        <w:snapToGrid/>
        <w:spacing w:line="560" w:lineRule="exact"/>
        <w:ind w:firstLine="56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预算编制：坚持“积极稳妥”原则，优先保障教学科研和民生支出。部门预算在校内预算的基础上同步编报，校内预算在部门预算批复的框架内细化实施。根据省财政预算编制要求，计财处广泛征求校内各学院、部门意见，提出年度预算建议草案，经校长办公会审议通过后，再报学校党委会审定，最后由省教育厅、财政厅批复。校内预算分配方案通过学校办公网以学校文件形式向全校公布。</w:t>
      </w:r>
    </w:p>
    <w:p>
      <w:pPr>
        <w:keepNext w:val="0"/>
        <w:keepLines w:val="0"/>
        <w:pageBreakBefore w:val="0"/>
        <w:widowControl w:val="0"/>
        <w:kinsoku/>
        <w:wordWrap/>
        <w:overflowPunct/>
        <w:topLinePunct w:val="0"/>
        <w:autoSpaceDE/>
        <w:autoSpaceDN/>
        <w:bidi w:val="0"/>
        <w:adjustRightInd/>
        <w:snapToGrid/>
        <w:spacing w:line="560" w:lineRule="exact"/>
        <w:ind w:firstLine="56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决算公开：学校年度财务决算情况定期向校长办公会议和党委会进行汇报，并在校教代会上向全体教代会代表报告。按照财政部门关于财务信息公开的规定，在学校信息公开网和计财处网站公开学校年度财务预算、决算信息，并接受社会监督。</w:t>
      </w:r>
    </w:p>
    <w:p>
      <w:pPr>
        <w:keepNext w:val="0"/>
        <w:keepLines w:val="0"/>
        <w:pageBreakBefore w:val="0"/>
        <w:widowControl w:val="0"/>
        <w:kinsoku/>
        <w:wordWrap/>
        <w:overflowPunct/>
        <w:topLinePunct w:val="0"/>
        <w:autoSpaceDE/>
        <w:autoSpaceDN/>
        <w:bidi w:val="0"/>
        <w:adjustRightInd/>
        <w:snapToGrid/>
        <w:spacing w:line="560" w:lineRule="exact"/>
        <w:ind w:firstLine="561"/>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3.收入支出管理 </w:t>
      </w:r>
    </w:p>
    <w:p>
      <w:pPr>
        <w:keepNext w:val="0"/>
        <w:keepLines w:val="0"/>
        <w:pageBreakBefore w:val="0"/>
        <w:widowControl w:val="0"/>
        <w:kinsoku/>
        <w:wordWrap/>
        <w:overflowPunct/>
        <w:topLinePunct w:val="0"/>
        <w:autoSpaceDE/>
        <w:autoSpaceDN/>
        <w:bidi w:val="0"/>
        <w:adjustRightInd/>
        <w:snapToGrid/>
        <w:spacing w:line="560" w:lineRule="exact"/>
        <w:ind w:firstLine="56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收支管理：学校收入来源主要包括财政补助收入、事业收入、科研收入和其他收入等。学校支出主要包括事业支出、科研支出、其他支出等。一直以来，学校严格执行“收支两条线”管理规定，校内所有收入和支出全部纳入学校财务统一管理和核算，不允许资金账外循环，不得隐瞒、滞留、截留、挪用和坐支学校收入，严禁部门和学院私设“小金库”。对于经费支出，严格执行国家财经法规和学校财务管理制度，确保支出合规、合理。为方便师生及时查询经费使用、薪酬发放、公积金缴交、经费到款、学生缴费等信息，计财处在财务综合信息平台为全校教职工开通了财务综合信息系统查询功能，使其能随时查询权限以内</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项目经费使用、个人薪酬、经费到款、报销金额、项目余额和银行电子回单等信息，及时掌握经费的使用情况和进度。同时，还通过计财处微信公众号，财务服务微信群、钉钉群、编制服务手册等多种途径向校内师生宣传财经政策及发布财务动态，多渠道全方位提供财务服务，加强与师生沟通，提高财务信息透明度。</w:t>
      </w:r>
    </w:p>
    <w:p>
      <w:pPr>
        <w:keepNext w:val="0"/>
        <w:keepLines w:val="0"/>
        <w:pageBreakBefore w:val="0"/>
        <w:widowControl w:val="0"/>
        <w:kinsoku/>
        <w:wordWrap/>
        <w:overflowPunct/>
        <w:topLinePunct w:val="0"/>
        <w:autoSpaceDE/>
        <w:autoSpaceDN/>
        <w:bidi w:val="0"/>
        <w:adjustRightInd/>
        <w:snapToGrid/>
        <w:spacing w:line="560" w:lineRule="exact"/>
        <w:ind w:firstLine="56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二级理财：学校实行校院两级财务管理体制，学院根据上级和学校相关文件规定制定财务管理制度，要求学院经费预算和决算须经学院党政联席会议讨论通过，定期向院内教职工公开经费使用情况，实行规范理财、民主理财。为了加强对学院二级理财情况的民主监督，根据学校规定，为做好学院财务公开工作，面向学院系、室主任以上人员开通网上经费查询功能服务，被授权人员通过财务综合信息平台可实时查询学院行政经费、公务接待经费、创收经费、绩效工资经费等各项经费的使用情况。</w:t>
      </w:r>
    </w:p>
    <w:p>
      <w:pPr>
        <w:keepNext w:val="0"/>
        <w:keepLines w:val="0"/>
        <w:pageBreakBefore w:val="0"/>
        <w:widowControl w:val="0"/>
        <w:kinsoku/>
        <w:wordWrap/>
        <w:overflowPunct/>
        <w:topLinePunct w:val="0"/>
        <w:autoSpaceDE/>
        <w:autoSpaceDN/>
        <w:bidi w:val="0"/>
        <w:adjustRightInd/>
        <w:snapToGrid/>
        <w:spacing w:line="560" w:lineRule="exact"/>
        <w:ind w:firstLine="561"/>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4.教育收费信息公开 </w:t>
      </w:r>
    </w:p>
    <w:p>
      <w:pPr>
        <w:keepNext w:val="0"/>
        <w:keepLines w:val="0"/>
        <w:pageBreakBefore w:val="0"/>
        <w:widowControl w:val="0"/>
        <w:kinsoku/>
        <w:wordWrap/>
        <w:overflowPunct/>
        <w:topLinePunct w:val="0"/>
        <w:autoSpaceDE/>
        <w:autoSpaceDN/>
        <w:bidi w:val="0"/>
        <w:adjustRightInd/>
        <w:snapToGrid/>
        <w:spacing w:line="560" w:lineRule="exact"/>
        <w:ind w:firstLine="56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收费标准备案审批：学校认真贯彻落实教育收费政策，严格执行收费报批备案制度，切实做到依法收费。校内新增收费项目、调整收费标准须先报校收费工作领导小组审核，需报经省发改委的收费项目，根据规定上报省发改委审批或备案后实施收费。</w:t>
      </w:r>
    </w:p>
    <w:p>
      <w:pPr>
        <w:keepNext w:val="0"/>
        <w:keepLines w:val="0"/>
        <w:pageBreakBefore w:val="0"/>
        <w:widowControl w:val="0"/>
        <w:kinsoku/>
        <w:wordWrap/>
        <w:overflowPunct/>
        <w:topLinePunct w:val="0"/>
        <w:autoSpaceDE/>
        <w:autoSpaceDN/>
        <w:bidi w:val="0"/>
        <w:adjustRightInd/>
        <w:snapToGrid/>
        <w:spacing w:line="560" w:lineRule="exact"/>
        <w:ind w:firstLine="56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收费监督：学校大力实施阳光收费，为确保学生对收费工作的知情权，每年通过招生简章、缴费须知、财务网站、校内收费公示栏等途径全面公开收费项目、依据、标准与投诉电话，接受学生和社会的广泛监督。学生可通过“银校通”收费平台及时查询收费标准和缴费情况。由于我校一直以来规范管理，依法收费，成效显著，得到上级主管部门的充分肯定。 </w:t>
      </w:r>
    </w:p>
    <w:p>
      <w:pPr>
        <w:keepNext w:val="0"/>
        <w:keepLines w:val="0"/>
        <w:pageBreakBefore w:val="0"/>
        <w:widowControl w:val="0"/>
        <w:kinsoku/>
        <w:wordWrap/>
        <w:overflowPunct/>
        <w:topLinePunct w:val="0"/>
        <w:autoSpaceDE/>
        <w:autoSpaceDN/>
        <w:bidi w:val="0"/>
        <w:adjustRightInd/>
        <w:snapToGrid/>
        <w:spacing w:line="560" w:lineRule="exact"/>
        <w:ind w:firstLine="561"/>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5.政府采购信息公开 </w:t>
      </w:r>
    </w:p>
    <w:p>
      <w:pPr>
        <w:keepNext w:val="0"/>
        <w:keepLines w:val="0"/>
        <w:pageBreakBefore w:val="0"/>
        <w:widowControl w:val="0"/>
        <w:kinsoku/>
        <w:wordWrap/>
        <w:overflowPunct/>
        <w:topLinePunct w:val="0"/>
        <w:autoSpaceDE/>
        <w:autoSpaceDN/>
        <w:bidi w:val="0"/>
        <w:adjustRightInd/>
        <w:snapToGrid/>
        <w:spacing w:line="560" w:lineRule="exact"/>
        <w:ind w:firstLine="56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制度建设：为提供更便捷、高效、规范的采购工作，更好地服务高水平大学建设，学校修订了《浙江工商大学采购管理办法》和《浙江工商大学部门自行采购实施细则》，为切实落实上级采购政策、完善采购内控机制提供制度依据，为采购管理工作规范、提高采购工作效率、着力长效机制建设。</w:t>
      </w:r>
    </w:p>
    <w:p>
      <w:pPr>
        <w:keepNext w:val="0"/>
        <w:keepLines w:val="0"/>
        <w:pageBreakBefore w:val="0"/>
        <w:widowControl w:val="0"/>
        <w:kinsoku/>
        <w:wordWrap/>
        <w:overflowPunct/>
        <w:topLinePunct w:val="0"/>
        <w:autoSpaceDE/>
        <w:autoSpaceDN/>
        <w:bidi w:val="0"/>
        <w:adjustRightInd/>
        <w:snapToGrid/>
        <w:spacing w:line="560" w:lineRule="exact"/>
        <w:ind w:firstLine="56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采购概况：2024年，学校申报政府采购预算执行建议书1886份，涉及金额4.44亿元，其中：设备类980项，采购预算金额1.32亿元；家具类206项，采购预算金额957.15万元；软件类13项，采购预算金额516.7万元；图书资料及教材类8项，采购预算金额776.55万元；全校会议培训类129项，采购预算金额1209.68万元；招生宣传、出版、保险等服务类项目257项，采购预算金额1.18亿元；工程类78项，采购预算金额1.55亿元；其他零星采购项目215项，采购预算金额495.89万元。</w:t>
      </w:r>
    </w:p>
    <w:p>
      <w:pPr>
        <w:keepNext w:val="0"/>
        <w:keepLines w:val="0"/>
        <w:pageBreakBefore w:val="0"/>
        <w:widowControl w:val="0"/>
        <w:kinsoku/>
        <w:wordWrap/>
        <w:overflowPunct/>
        <w:topLinePunct w:val="0"/>
        <w:autoSpaceDE/>
        <w:autoSpaceDN/>
        <w:bidi w:val="0"/>
        <w:adjustRightInd/>
        <w:snapToGrid/>
        <w:spacing w:line="560" w:lineRule="exact"/>
        <w:ind w:firstLine="56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（3）全流程公示：政府采购包括采购意向、意见征询、采购公告、采购结果、采购合同，按上级规定在浙江省政府采购网上公告。部门自行采购由使用部门按学校采购制度要求在计财处官网进行公示。</w:t>
      </w:r>
    </w:p>
    <w:p>
      <w:pPr>
        <w:rPr>
          <w:rFonts w:hint="eastAsia"/>
          <w:sz w:val="32"/>
          <w:szCs w:val="32"/>
        </w:rPr>
      </w:pPr>
      <w:r>
        <w:rPr>
          <w:rFonts w:hint="eastAsia"/>
          <w:sz w:val="32"/>
          <w:szCs w:val="32"/>
        </w:rPr>
        <w:br w:type="page"/>
      </w:r>
    </w:p>
    <w:p>
      <w:pPr>
        <w:pStyle w:val="2"/>
        <w:adjustRightInd w:val="0"/>
        <w:snapToGrid w:val="0"/>
        <w:spacing w:before="156" w:after="312" w:afterLines="100" w:line="560" w:lineRule="exact"/>
        <w:ind w:firstLine="0"/>
        <w:jc w:val="center"/>
        <w:rPr>
          <w:rFonts w:hint="eastAsia" w:ascii="方正小标宋简体" w:hAnsi="方正小标宋简体" w:cs="方正小标宋简体"/>
          <w:b/>
          <w:bCs/>
          <w:color w:val="auto"/>
          <w:sz w:val="44"/>
          <w:szCs w:val="44"/>
        </w:rPr>
      </w:pPr>
      <w:r>
        <w:rPr>
          <w:rFonts w:hint="eastAsia" w:ascii="方正小标宋简体" w:hAnsi="方正小标宋简体" w:eastAsia="方正小标宋简体" w:cs="方正小标宋简体"/>
          <w:color w:val="auto"/>
          <w:sz w:val="44"/>
          <w:szCs w:val="44"/>
        </w:rPr>
        <w:t>2024年科学研究与社会服务情况公开报告</w:t>
      </w:r>
    </w:p>
    <w:p>
      <w:pPr>
        <w:spacing w:line="56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一、基本情况</w:t>
      </w:r>
    </w:p>
    <w:p>
      <w:pPr>
        <w:spacing w:before="156" w:beforeLines="50" w:line="560" w:lineRule="exact"/>
        <w:ind w:firstLine="643" w:firstLineChars="200"/>
        <w:jc w:val="both"/>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（一）创新科研体系，</w:t>
      </w:r>
      <w:r>
        <w:rPr>
          <w:rFonts w:hint="eastAsia" w:ascii="楷体_GB2312" w:hAnsi="楷体_GB2312" w:eastAsia="楷体_GB2312" w:cs="楷体_GB2312"/>
          <w:b/>
          <w:bCs/>
          <w:sz w:val="32"/>
          <w:szCs w:val="32"/>
          <w:lang w:val="zh-TW" w:eastAsia="zh-TW"/>
        </w:rPr>
        <w:t>重大</w:t>
      </w:r>
      <w:r>
        <w:rPr>
          <w:rFonts w:hint="eastAsia" w:ascii="楷体_GB2312" w:hAnsi="楷体_GB2312" w:eastAsia="楷体_GB2312" w:cs="楷体_GB2312"/>
          <w:b/>
          <w:bCs/>
          <w:sz w:val="32"/>
          <w:szCs w:val="32"/>
          <w:lang w:val="zh-TW"/>
        </w:rPr>
        <w:t>科学</w:t>
      </w:r>
      <w:r>
        <w:rPr>
          <w:rFonts w:hint="eastAsia" w:ascii="楷体_GB2312" w:hAnsi="楷体_GB2312" w:eastAsia="楷体_GB2312" w:cs="楷体_GB2312"/>
          <w:b/>
          <w:bCs/>
          <w:sz w:val="32"/>
          <w:szCs w:val="32"/>
          <w:lang w:val="zh-TW" w:eastAsia="zh-TW"/>
        </w:rPr>
        <w:t>研究能力</w:t>
      </w:r>
      <w:r>
        <w:rPr>
          <w:rFonts w:hint="eastAsia" w:ascii="楷体_GB2312" w:hAnsi="楷体_GB2312" w:eastAsia="楷体_GB2312" w:cs="楷体_GB2312"/>
          <w:b/>
          <w:bCs/>
          <w:sz w:val="32"/>
          <w:szCs w:val="32"/>
        </w:rPr>
        <w:t>不断提升</w:t>
      </w:r>
    </w:p>
    <w:p>
      <w:pPr>
        <w:spacing w:line="560" w:lineRule="exact"/>
        <w:ind w:firstLine="640" w:firstLineChars="200"/>
        <w:jc w:val="both"/>
        <w:rPr>
          <w:rFonts w:hint="eastAsia" w:ascii="仿宋_GB2312" w:hAnsi="仿宋_GB2312" w:eastAsia="仿宋_GB2312" w:cs="仿宋_GB2312"/>
          <w:color w:val="FF0000"/>
          <w:sz w:val="32"/>
          <w:szCs w:val="32"/>
        </w:rPr>
      </w:pPr>
      <w:bookmarkStart w:id="2" w:name="_Toc383768859"/>
      <w:bookmarkStart w:id="3" w:name="_Toc445468702"/>
      <w:bookmarkStart w:id="4" w:name="_Toc445815974"/>
      <w:r>
        <w:rPr>
          <w:rFonts w:hint="eastAsia" w:ascii="仿宋_GB2312" w:hAnsi="仿宋_GB2312" w:eastAsia="仿宋_GB2312" w:cs="仿宋_GB2312"/>
          <w:sz w:val="32"/>
          <w:szCs w:val="32"/>
        </w:rPr>
        <w:t>2024年，学校获准国家自然科学基金项目共39项，其中基金重点项目1项、联合基金重点项目2项；获批国家重点研发计划重点专项项目1项、国合项目1项、课题2项。</w:t>
      </w:r>
      <w:bookmarkEnd w:id="2"/>
      <w:bookmarkEnd w:id="3"/>
      <w:bookmarkEnd w:id="4"/>
      <w:r>
        <w:rPr>
          <w:rFonts w:hint="eastAsia" w:ascii="仿宋_GB2312" w:hAnsi="仿宋_GB2312" w:eastAsia="仿宋_GB2312" w:cs="仿宋_GB2312"/>
          <w:color w:val="000000" w:themeColor="text1"/>
          <w:sz w:val="32"/>
          <w:szCs w:val="32"/>
          <w14:textFill>
            <w14:solidFill>
              <w14:schemeClr w14:val="tx1"/>
            </w14:solidFill>
          </w14:textFill>
        </w:rPr>
        <w:t>首次获批国家自然科学基金重点项目，科技类国家级重大重点项目（课题）获批总数7项，创历史新高。2024年，获省部级及以上科技类科研成果奖励9项，其中以学校为第一完成单位的省科学技术奖4项。2024年，发表科技类学术论文658篇，其中A+及以上论文447篇。2024年度我校授权发明专利103项，其中,国内发明专利88项、美日欧发明专利8项。2024年度，新增横向项目88项，合同总金额3129.04万元；科技类2024年科研到款总金额为11932.79万元，较上年度增长</w:t>
      </w:r>
      <w:r>
        <w:rPr>
          <w:rFonts w:hint="eastAsia" w:ascii="仿宋_GB2312" w:hAnsi="仿宋_GB2312" w:eastAsia="仿宋_GB2312" w:cs="仿宋_GB2312"/>
          <w:sz w:val="32"/>
          <w:szCs w:val="32"/>
        </w:rPr>
        <w:t>11.1%，年度到款总额创历史新高。其中纵向到账经费8594.68万元，较2023年增长76.2%。</w:t>
      </w:r>
    </w:p>
    <w:p>
      <w:pPr>
        <w:widowControl/>
        <w:spacing w:line="560" w:lineRule="exact"/>
        <w:ind w:firstLine="640" w:firstLineChars="20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2024年，学校获准国家社科基金项目共52项，重大项目1项</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themeColor="text1"/>
          <w:sz w:val="32"/>
          <w:szCs w:val="32"/>
          <w14:textFill>
            <w14:solidFill>
              <w14:schemeClr w14:val="tx1"/>
            </w14:solidFill>
          </w14:textFill>
        </w:rPr>
        <w:t>年度项目39项</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themeColor="text1"/>
          <w:sz w:val="32"/>
          <w:szCs w:val="32"/>
          <w14:textFill>
            <w14:solidFill>
              <w14:schemeClr w14:val="tx1"/>
            </w14:solidFill>
          </w14:textFill>
        </w:rPr>
        <w:t>后期资助项目10项</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themeColor="text1"/>
          <w:sz w:val="32"/>
          <w:szCs w:val="32"/>
          <w14:textFill>
            <w14:solidFill>
              <w14:schemeClr w14:val="tx1"/>
            </w14:solidFill>
          </w14:textFill>
        </w:rPr>
        <w:t>艺术学项目1项；学术社团项目1项。获准教育部人文社科项目17项，较去年同比增加89%。获准省哲社课题103项，立项总数全省第一，其中重点项目数量较去年增加74%；省哲社结项首次单年度超百项，数量全省第一。已完成两批商大精品文库申报与立项工作，共23项，其中重大项目4项、重点项目10项、一般项目9项。发表社科类论文1077篇，其中A++及以上189篇；出版著作72部；以第一作者/通讯作者在《经济研究》《管理世界》等A+++期刊发表论文30篇，较去年同期16篇增长了87.5%。获批第九届教育部高等学校科学研究优秀成果奖（人文社会科学）13项成果获奖（含8项我校为参与单位），其中一等奖2项、二等奖6项、三等奖4项、青年成果奖1项。组织完成安子介国际贸易研究奖、中宣部“五个一工程奖”、刘诗白经济学奖、文化和旅游优秀研究成果、浙江省教育科学研究优秀成果奖等各类奖项申报，共申报13项成果。</w:t>
      </w:r>
    </w:p>
    <w:p>
      <w:pPr>
        <w:widowControl/>
        <w:spacing w:line="560" w:lineRule="exact"/>
        <w:ind w:firstLine="643" w:firstLineChars="200"/>
        <w:jc w:val="both"/>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（二）抓实平台建设，助力服务水平持续升级</w:t>
      </w:r>
    </w:p>
    <w:p>
      <w:pPr>
        <w:widowControl/>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学校积极推进科技类科研平台建设，助力科技体制改革新探索。“全省共同富裕计算科学重点实验室”、“全省食品微生物与营养健康重点实验室”、“全省大数据与未来电子商务技术重点实验室”获批为全省重点实验室，评审通过待完善全省重点实验室2个（</w:t>
      </w:r>
      <w:r>
        <w:rPr>
          <w:rFonts w:hint="eastAsia" w:ascii="仿宋_GB2312" w:hAnsi="仿宋_GB2312" w:eastAsia="仿宋_GB2312" w:cs="仿宋_GB2312"/>
          <w:b/>
          <w:bCs/>
          <w:sz w:val="32"/>
          <w:szCs w:val="32"/>
        </w:rPr>
        <w:t>7个申报指标获批5个</w:t>
      </w:r>
      <w:r>
        <w:rPr>
          <w:rFonts w:hint="eastAsia" w:ascii="仿宋_GB2312" w:hAnsi="仿宋_GB2312" w:eastAsia="仿宋_GB2312" w:cs="仿宋_GB2312"/>
          <w:sz w:val="32"/>
          <w:szCs w:val="32"/>
        </w:rPr>
        <w:t>），并依托以上重点实验室获批2024年度中央引导地方科技发展资金储备项目2项。 “统计大数据与智能分析技术国际科技合作基地”获批为浙江省国际科技合作基地。现代食品安全与营养协同创新中心阶段性评估获得A等级。</w:t>
      </w:r>
    </w:p>
    <w:p>
      <w:pPr>
        <w:widowControl/>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 w:eastAsia="仿宋_GB2312" w:cs="仿宋"/>
          <w:sz w:val="32"/>
          <w:szCs w:val="32"/>
        </w:rPr>
        <w:t>2024年，学校共申报省部级及以上社科类科研平台（团队）6个，其中获批3个省部级科研平台，</w:t>
      </w:r>
      <w:r>
        <w:rPr>
          <w:rFonts w:hint="eastAsia" w:ascii="仿宋_GB2312" w:hAnsi="仿宋_GB2312" w:eastAsia="仿宋_GB2312" w:cs="仿宋_GB2312"/>
          <w:sz w:val="32"/>
          <w:szCs w:val="32"/>
        </w:rPr>
        <w:t>“共同富裕可视化与政策实验室”获批浙江省哲学社会科学实验室，“中国智能管理研究院”获批为浙江省高质量哲学社会科学重点研究基地，“共同富裕研究实验室”获批浙江省文科实验室。除此之外，“中国链研究实验室”获批第五批杭州市哲学社会科学重点研究基地。并且，我校原有三家省哲社重点研究基地全部被省社科联遴选为浙江省高质量哲学社会科学重点研究基地。</w:t>
      </w:r>
    </w:p>
    <w:p>
      <w:pPr>
        <w:spacing w:line="560" w:lineRule="exact"/>
        <w:ind w:firstLine="640" w:firstLineChars="200"/>
        <w:jc w:val="both"/>
        <w:rPr>
          <w:rFonts w:hint="eastAsia" w:ascii="仿宋_GB2312" w:hAnsi="仿宋" w:eastAsia="仿宋_GB2312" w:cs="仿宋"/>
          <w:sz w:val="32"/>
          <w:szCs w:val="32"/>
        </w:rPr>
      </w:pPr>
      <w:r>
        <w:rPr>
          <w:rFonts w:hint="eastAsia" w:ascii="仿宋_GB2312" w:hAnsi="仿宋" w:eastAsia="仿宋_GB2312" w:cs="仿宋"/>
          <w:sz w:val="32"/>
          <w:szCs w:val="32"/>
        </w:rPr>
        <w:t>2024年，学校加强与国家市场监督管理总局发展研究中心合作。签订战略合作协议并共建市场监管研究院，打造国家高端智库；我校重要窗口研究院、浙江省文化产业长兴发展研究院2家智库增选为2024CTTI来源智库，同时，我校荣获CTTI 智库研究优秀成果7项、最佳案例奖3项；持续完善智库约稿机制，2024年共收到上级部门有关约稿134篇，其中40篇获批采纳批示，目前正积极与上级有关部门对接，实现颗粒归仓。在社科赋能方面，浙商研究院吴波团队成果获评2024年度社科赋能山区海岛高质量发展行动创新案例。</w:t>
      </w:r>
    </w:p>
    <w:p>
      <w:pPr>
        <w:widowControl/>
        <w:spacing w:line="560" w:lineRule="exact"/>
        <w:ind w:firstLine="643" w:firstLineChars="200"/>
        <w:jc w:val="both"/>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（三）立足产学合作，社会服务能力显著增长</w:t>
      </w:r>
    </w:p>
    <w:p>
      <w:pPr>
        <w:spacing w:line="560" w:lineRule="exact"/>
        <w:ind w:firstLine="640" w:firstLineChars="200"/>
        <w:jc w:val="both"/>
        <w:rPr>
          <w:rFonts w:hint="eastAsia" w:ascii="仿宋_GB2312" w:hAnsi="仿宋" w:eastAsia="仿宋_GB2312" w:cs="仿宋"/>
          <w:sz w:val="32"/>
          <w:szCs w:val="32"/>
        </w:rPr>
      </w:pPr>
      <w:r>
        <w:rPr>
          <w:rFonts w:hint="eastAsia" w:ascii="仿宋_GB2312" w:hAnsi="仿宋" w:eastAsia="仿宋_GB2312" w:cs="仿宋"/>
          <w:sz w:val="32"/>
          <w:szCs w:val="32"/>
        </w:rPr>
        <w:t>2024年，学校继续加强“政产学研用”一体化的合作创新机制，加强与地方政府、企业的沟通联系，加强推进科研项目合作与成果转化，努力推动大平台、大项目建设。以学校优势学科为基础积极推进山区26县跨越式高质量发展。新建技术转移中心3个，衢江生命健康产业创新中心、义乌技术转移中心、永嘉技术转移转化中心；新建校企研究中心2个，宝盛数智餐厨技术研究中心、环保产业先进技术及装备研究院；与杭州核力欣健实业股份有限公司签订校企合作协议。</w:t>
      </w:r>
    </w:p>
    <w:p>
      <w:pPr>
        <w:spacing w:line="560" w:lineRule="exact"/>
        <w:ind w:firstLine="640" w:firstLineChars="200"/>
        <w:jc w:val="both"/>
        <w:rPr>
          <w:rFonts w:hint="eastAsia" w:ascii="仿宋_GB2312" w:hAnsi="仿宋" w:eastAsia="仿宋_GB2312" w:cs="仿宋"/>
          <w:sz w:val="32"/>
          <w:szCs w:val="32"/>
        </w:rPr>
      </w:pPr>
      <w:r>
        <w:rPr>
          <w:rFonts w:hint="eastAsia" w:ascii="仿宋_GB2312" w:hAnsi="仿宋" w:eastAsia="仿宋_GB2312" w:cs="仿宋"/>
          <w:sz w:val="32"/>
          <w:szCs w:val="32"/>
        </w:rPr>
        <w:t>2024年，学校积极引导科研平台面向社会开放，加强与企业、政府部门等的合作与交流，提高平台的社会服务能力和影响力。2024年科技类</w:t>
      </w:r>
      <w:r>
        <w:rPr>
          <w:rFonts w:hint="eastAsia" w:ascii="仿宋_GB2312" w:hAnsi="仿宋_GB2312" w:eastAsia="仿宋_GB2312" w:cs="仿宋_GB2312"/>
          <w:sz w:val="32"/>
          <w:szCs w:val="32"/>
        </w:rPr>
        <w:t>横向科研经费到款3294.04万元。签订100万以上科技类横向项目9项，其中500万以上1项，200万-500万2项。</w:t>
      </w:r>
      <w:r>
        <w:rPr>
          <w:rFonts w:hint="eastAsia" w:ascii="仿宋_GB2312" w:hAnsi="仿宋" w:eastAsia="仿宋_GB2312" w:cs="仿宋"/>
          <w:sz w:val="32"/>
          <w:szCs w:val="32"/>
        </w:rPr>
        <w:t>2024年社科类横向科研经费到款2793万元，签订100万元以上横向科研项目4项，其中60万-100万元横向科研项目3项。</w:t>
      </w:r>
    </w:p>
    <w:p>
      <w:pPr>
        <w:spacing w:line="560" w:lineRule="exact"/>
        <w:ind w:firstLine="640" w:firstLineChars="200"/>
        <w:jc w:val="both"/>
        <w:rPr>
          <w:rFonts w:hint="eastAsia" w:ascii="仿宋_GB2312" w:hAnsi="仿宋" w:eastAsia="仿宋_GB2312" w:cs="仿宋"/>
          <w:sz w:val="32"/>
          <w:szCs w:val="32"/>
        </w:rPr>
      </w:pPr>
      <w:bookmarkStart w:id="5" w:name="OLE_LINK1"/>
      <w:r>
        <w:rPr>
          <w:rFonts w:hint="eastAsia" w:ascii="仿宋_GB2312" w:hAnsi="仿宋" w:eastAsia="仿宋_GB2312" w:cs="仿宋"/>
          <w:sz w:val="32"/>
          <w:szCs w:val="32"/>
        </w:rPr>
        <w:t>2024年，学校进一步推动稻盛商学院</w:t>
      </w:r>
      <w:r>
        <w:rPr>
          <w:rFonts w:ascii="仿宋_GB2312" w:hAnsi="仿宋" w:eastAsia="仿宋_GB2312" w:cs="仿宋"/>
          <w:sz w:val="32"/>
          <w:szCs w:val="32"/>
        </w:rPr>
        <w:t>、</w:t>
      </w:r>
      <w:r>
        <w:rPr>
          <w:rFonts w:hint="eastAsia" w:ascii="仿宋_GB2312" w:hAnsi="仿宋" w:eastAsia="仿宋_GB2312" w:cs="仿宋"/>
          <w:sz w:val="32"/>
          <w:szCs w:val="32"/>
        </w:rPr>
        <w:t>浙商资产管理学院等</w:t>
      </w:r>
      <w:r>
        <w:rPr>
          <w:rFonts w:ascii="仿宋_GB2312" w:hAnsi="仿宋" w:eastAsia="仿宋_GB2312" w:cs="仿宋"/>
          <w:sz w:val="32"/>
          <w:szCs w:val="32"/>
        </w:rPr>
        <w:t>6</w:t>
      </w:r>
      <w:r>
        <w:rPr>
          <w:rFonts w:hint="eastAsia" w:ascii="仿宋_GB2312" w:hAnsi="仿宋" w:eastAsia="仿宋_GB2312" w:cs="仿宋"/>
          <w:sz w:val="32"/>
          <w:szCs w:val="32"/>
        </w:rPr>
        <w:t>个校企合作项目</w:t>
      </w:r>
      <w:r>
        <w:rPr>
          <w:rFonts w:ascii="仿宋_GB2312" w:hAnsi="仿宋" w:eastAsia="仿宋_GB2312" w:cs="仿宋"/>
          <w:sz w:val="32"/>
          <w:szCs w:val="32"/>
        </w:rPr>
        <w:t>，</w:t>
      </w:r>
      <w:r>
        <w:rPr>
          <w:rFonts w:hint="eastAsia" w:ascii="仿宋_GB2312" w:hAnsi="仿宋" w:eastAsia="仿宋_GB2312" w:cs="仿宋"/>
          <w:sz w:val="32"/>
          <w:szCs w:val="32"/>
        </w:rPr>
        <w:t>省司法厅</w:t>
      </w:r>
      <w:r>
        <w:rPr>
          <w:rFonts w:ascii="仿宋_GB2312" w:hAnsi="仿宋" w:eastAsia="仿宋_GB2312" w:cs="仿宋"/>
          <w:sz w:val="32"/>
          <w:szCs w:val="32"/>
        </w:rPr>
        <w:t>、</w:t>
      </w:r>
      <w:r>
        <w:rPr>
          <w:rFonts w:hint="eastAsia" w:ascii="仿宋_GB2312" w:hAnsi="仿宋" w:eastAsia="仿宋_GB2312" w:cs="仿宋"/>
          <w:sz w:val="32"/>
          <w:szCs w:val="32"/>
        </w:rPr>
        <w:t>省审计厅等</w:t>
      </w:r>
      <w:r>
        <w:rPr>
          <w:rFonts w:ascii="仿宋_GB2312" w:hAnsi="仿宋" w:eastAsia="仿宋_GB2312" w:cs="仿宋"/>
          <w:sz w:val="32"/>
          <w:szCs w:val="32"/>
        </w:rPr>
        <w:t>8</w:t>
      </w:r>
      <w:r>
        <w:rPr>
          <w:rFonts w:hint="eastAsia" w:ascii="仿宋_GB2312" w:hAnsi="仿宋" w:eastAsia="仿宋_GB2312" w:cs="仿宋"/>
          <w:sz w:val="32"/>
          <w:szCs w:val="32"/>
        </w:rPr>
        <w:t>个校地合作项目落地见效</w:t>
      </w:r>
      <w:r>
        <w:rPr>
          <w:rFonts w:ascii="仿宋_GB2312" w:hAnsi="仿宋" w:eastAsia="仿宋_GB2312" w:cs="仿宋"/>
          <w:sz w:val="32"/>
          <w:szCs w:val="32"/>
        </w:rPr>
        <w:t>。</w:t>
      </w:r>
      <w:r>
        <w:rPr>
          <w:rFonts w:hint="eastAsia" w:ascii="仿宋_GB2312" w:hAnsi="仿宋" w:eastAsia="仿宋_GB2312" w:cs="仿宋"/>
          <w:sz w:val="32"/>
          <w:szCs w:val="32"/>
        </w:rPr>
        <w:t>2024年，社会合作到账经费总金额9078.65万元，较2023年社会合作到账经费3675万元，同比增长5403.65万元，同比增长率147.04%，社会合作到账经费连续两年增长率超过145%，其中，稻盛商学院项目合作金额1亿元，2024年度已到账捐赠金额6249.17万元，社会合作年度捐赠到账总额和单一项目年度到账金额均创历史新高。</w:t>
      </w:r>
      <w:bookmarkEnd w:id="5"/>
    </w:p>
    <w:p>
      <w:pPr>
        <w:spacing w:line="56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二、工作举措</w:t>
      </w:r>
    </w:p>
    <w:p>
      <w:pPr>
        <w:widowControl/>
        <w:spacing w:line="560" w:lineRule="exact"/>
        <w:ind w:firstLine="643" w:firstLineChars="200"/>
        <w:jc w:val="both"/>
        <w:rPr>
          <w:rFonts w:hint="eastAsia" w:ascii="楷体_GB2312" w:hAnsi="楷体_GB2312" w:eastAsia="楷体_GB2312" w:cs="楷体_GB2312"/>
          <w:b/>
          <w:bCs/>
          <w:sz w:val="32"/>
          <w:szCs w:val="32"/>
          <w:u w:val="single"/>
        </w:rPr>
      </w:pPr>
      <w:r>
        <w:rPr>
          <w:rFonts w:hint="eastAsia" w:ascii="楷体_GB2312" w:hAnsi="楷体_GB2312" w:eastAsia="楷体_GB2312" w:cs="楷体_GB2312"/>
          <w:b/>
          <w:bCs/>
          <w:sz w:val="32"/>
          <w:szCs w:val="32"/>
        </w:rPr>
        <w:t>（一）强化科研管理，提升系统谋划与推进力度</w:t>
      </w:r>
    </w:p>
    <w:p>
      <w:pPr>
        <w:widowControl/>
        <w:spacing w:line="560" w:lineRule="exact"/>
        <w:ind w:firstLine="640" w:firstLineChars="20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加强顶层设计与战略规划。明确科研管理系统的定位与目标，结合学校发展实际和学科特色，制定长期与短期的科研发展规划，确保系统谋划的科学性与前瞻性；强化科研评价与反馈，建立科学的科研评价体系，对科研工作进行定期评价和反馈。及时发现问题和不足，并采取有效措施进行改进，通过评价和反馈机制，助推科研水平和质量升级。</w:t>
      </w:r>
    </w:p>
    <w:p>
      <w:pPr>
        <w:widowControl/>
        <w:spacing w:line="560" w:lineRule="exact"/>
        <w:ind w:firstLine="640" w:firstLineChars="20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强化资源整合与信息共享。加强校内外科研资源的整合，推动科研团队之间的合作与交流，形成科研合力。推动跨学科交叉、数字+学科创新，推动跨部门、跨机构合作，鼓励不同部门、不同机构之间的科研人员共享资源，打破信息壁垒，提高资源利用效率；建立科研资源共享平台，促进科研成果的转化与应用。</w:t>
      </w:r>
    </w:p>
    <w:p>
      <w:pPr>
        <w:widowControl/>
        <w:spacing w:line="560" w:lineRule="exact"/>
        <w:ind w:firstLine="640" w:firstLineChars="20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3.完善制度建设和体制机制。</w:t>
      </w:r>
      <w:r>
        <w:rPr>
          <w:rFonts w:hint="eastAsia" w:ascii="仿宋_GB2312" w:hAnsi="仿宋_GB2312" w:eastAsia="仿宋_GB2312" w:cs="仿宋_GB2312"/>
          <w:color w:val="000000" w:themeColor="text1"/>
          <w:sz w:val="32"/>
          <w:szCs w:val="32"/>
          <w14:textFill>
            <w14:solidFill>
              <w14:schemeClr w14:val="tx1"/>
            </w14:solidFill>
          </w14:textFill>
        </w:rPr>
        <w:t>针对科研经费使用中的痛点堵点问题，牵头组织针对科研经费使用的调研、座谈会、协调会、培训会等，推动《浙江工商大学采购管理办法》和《浙江工商大学部门自行采购实施细则》等文件的及时修订。修订印发《基本科研业务费管理办法（试行）》（浙商大科〔2024〕55号）、《科研项目经费使用“包干制”管理办法（试行）》（浙商大科〔2024〕211号），草拟《浙江工商大学国家级重大科研项目培育办法》。2024年，完成《浙江工商大学科研机构管理与评估办法（试行）》文件修订，进一步完善科研机构绩效评价导向机制，开展科研机构定期评估，规范科研机构运行管理，全面推动科研平台提质升级。加强科研诚信建设，健全完善科研诚信工作机制，结合我校实际，修订出台《浙江工商大学科研诚信管理办法》。</w:t>
      </w:r>
      <w:r>
        <w:rPr>
          <w:rFonts w:hint="eastAsia" w:ascii="仿宋_GB2312" w:hAnsi="仿宋_GB2312" w:eastAsia="仿宋_GB2312" w:cs="仿宋_GB2312"/>
          <w:sz w:val="32"/>
          <w:szCs w:val="32"/>
        </w:rPr>
        <w:t>进行高层次期刊目录</w:t>
      </w:r>
      <w:r>
        <w:rPr>
          <w:rFonts w:hint="eastAsia" w:ascii="仿宋_GB2312" w:hAnsi="仿宋" w:eastAsia="仿宋_GB2312" w:cs="仿宋"/>
          <w:sz w:val="32"/>
          <w:szCs w:val="32"/>
        </w:rPr>
        <w:t>修订工作</w:t>
      </w:r>
      <w:r>
        <w:rPr>
          <w:rFonts w:hint="eastAsia" w:ascii="仿宋_GB2312" w:hAnsi="仿宋" w:eastAsia="仿宋_GB2312" w:cs="仿宋"/>
          <w:b/>
          <w:bCs/>
          <w:sz w:val="32"/>
          <w:szCs w:val="32"/>
        </w:rPr>
        <w:t>，</w:t>
      </w:r>
      <w:r>
        <w:rPr>
          <w:rFonts w:hint="eastAsia" w:ascii="仿宋_GB2312" w:hAnsi="仿宋" w:eastAsia="仿宋_GB2312" w:cs="仿宋"/>
          <w:sz w:val="32"/>
          <w:szCs w:val="32"/>
        </w:rPr>
        <w:t>经广泛意见征求和多次研讨论证，于2024年1月修订并出台《浙江工商大学高层次期刊目录 （2024 版）》（试行）。</w:t>
      </w:r>
    </w:p>
    <w:p>
      <w:pPr>
        <w:widowControl/>
        <w:spacing w:line="560" w:lineRule="exact"/>
        <w:ind w:firstLine="643" w:firstLineChars="200"/>
        <w:jc w:val="both"/>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（二）以教师为中心，提供高级别精细化科管服务</w:t>
      </w:r>
    </w:p>
    <w:p>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1.优化管理流程，减轻科研人员负担。优化纵向、横向项目立项流程，简化系统填报，提供全流程横向技术合同登记服务，</w:t>
      </w:r>
      <w:r>
        <w:rPr>
          <w:rFonts w:ascii="仿宋_GB2312" w:hAnsi="仿宋_GB2312" w:eastAsia="仿宋_GB2312" w:cs="仿宋_GB2312"/>
          <w:sz w:val="32"/>
          <w:szCs w:val="32"/>
        </w:rPr>
        <w:t>202</w:t>
      </w:r>
      <w:r>
        <w:rPr>
          <w:rFonts w:hint="eastAsia" w:ascii="仿宋_GB2312" w:hAnsi="仿宋_GB2312" w:eastAsia="仿宋_GB2312" w:cs="仿宋_GB2312"/>
          <w:sz w:val="32"/>
          <w:szCs w:val="32"/>
        </w:rPr>
        <w:t>4</w:t>
      </w:r>
      <w:r>
        <w:rPr>
          <w:rFonts w:ascii="仿宋_GB2312" w:hAnsi="仿宋_GB2312" w:eastAsia="仿宋_GB2312" w:cs="仿宋_GB2312"/>
          <w:sz w:val="32"/>
          <w:szCs w:val="32"/>
        </w:rPr>
        <w:t>年累计办理合同登记业务1</w:t>
      </w:r>
      <w:r>
        <w:rPr>
          <w:rFonts w:hint="eastAsia" w:ascii="仿宋_GB2312" w:hAnsi="仿宋_GB2312" w:eastAsia="仿宋_GB2312" w:cs="仿宋_GB2312"/>
          <w:sz w:val="32"/>
          <w:szCs w:val="32"/>
        </w:rPr>
        <w:t>08</w:t>
      </w:r>
      <w:r>
        <w:rPr>
          <w:rFonts w:ascii="仿宋_GB2312" w:hAnsi="仿宋_GB2312" w:eastAsia="仿宋_GB2312" w:cs="仿宋_GB2312"/>
          <w:sz w:val="32"/>
          <w:szCs w:val="32"/>
        </w:rPr>
        <w:t>项，登记合同金额</w:t>
      </w:r>
      <w:r>
        <w:rPr>
          <w:rFonts w:hint="eastAsia" w:ascii="仿宋_GB2312" w:hAnsi="仿宋_GB2312" w:eastAsia="仿宋_GB2312" w:cs="仿宋_GB2312"/>
          <w:sz w:val="32"/>
          <w:szCs w:val="32"/>
        </w:rPr>
        <w:t>近3500</w:t>
      </w:r>
      <w:r>
        <w:rPr>
          <w:rFonts w:ascii="仿宋_GB2312" w:hAnsi="仿宋_GB2312" w:eastAsia="仿宋_GB2312" w:cs="仿宋_GB2312"/>
          <w:sz w:val="32"/>
          <w:szCs w:val="32"/>
        </w:rPr>
        <w:t>万元</w:t>
      </w:r>
      <w:r>
        <w:rPr>
          <w:rFonts w:hint="eastAsia" w:ascii="仿宋_GB2312" w:hAnsi="仿宋_GB2312" w:eastAsia="仿宋_GB2312" w:cs="仿宋_GB2312"/>
          <w:sz w:val="32"/>
          <w:szCs w:val="32"/>
        </w:rPr>
        <w:t>。高质量完成国家知识产权局等八部门联合开展的高校和科研机构存量专利盘活工作，做到全年存量专利盘点率保持100%，成为我省首批完成盘点工作的高校。</w:t>
      </w:r>
      <w:r>
        <w:rPr>
          <w:rFonts w:ascii="仿宋_GB2312" w:hAnsi="仿宋_GB2312" w:eastAsia="仿宋_GB2312" w:cs="仿宋_GB2312"/>
          <w:sz w:val="32"/>
          <w:szCs w:val="32"/>
        </w:rPr>
        <w:t>邀请兄弟院校专家来校进行了分享与交流</w:t>
      </w:r>
      <w:r>
        <w:rPr>
          <w:rFonts w:hint="eastAsia" w:ascii="仿宋_GB2312" w:hAnsi="仿宋_GB2312" w:eastAsia="仿宋_GB2312" w:cs="仿宋_GB2312"/>
          <w:sz w:val="32"/>
          <w:szCs w:val="32"/>
        </w:rPr>
        <w:t>,提供全过程精细化报奖服务。完善科研管理系统中科研机构管理与评估内容，构建科研机构数字化管理模式。</w:t>
      </w:r>
    </w:p>
    <w:p>
      <w:pPr>
        <w:widowControl/>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创新服务模式，提供定制科研服务。为科研项目大户提供定制化服务，建立科研、财务、学院、教师四方专属微信群，开通财务专属绿色通道，提高财务处理效率，第一时间响应并解决问题，让科研人员无后顾之忧全身心从事项目开展。</w:t>
      </w:r>
      <w:r>
        <w:rPr>
          <w:rFonts w:hint="eastAsia" w:ascii="仿宋_GB2312" w:hAnsi="仿宋_GB2312" w:eastAsia="仿宋_GB2312" w:cs="仿宋_GB2312"/>
          <w:color w:val="000000" w:themeColor="text1"/>
          <w:sz w:val="32"/>
          <w:szCs w:val="32"/>
          <w14:textFill>
            <w14:solidFill>
              <w14:schemeClr w14:val="tx1"/>
            </w14:solidFill>
          </w14:textFill>
        </w:rPr>
        <w:t>完善科研管理系统中科研机构管理与评估模块，构建科研机构数字化管理模式，实现科研机构绩效智能化评价，提高科研机构管理效能。</w:t>
      </w:r>
    </w:p>
    <w:p>
      <w:pPr>
        <w:widowControl/>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丰富活动类型，激发科研创新活力。学校组织开展“科学技术研究提升计划活动”与“科技学术月活动”，围绕国家自然科学基金、国际科技合作项目、省科学技术奖等申报论证工作，分层次分学科开展系列讲座活动，大力营造浓厚学术氛围，努力提升基础科学研究水平。</w:t>
      </w:r>
      <w:r>
        <w:rPr>
          <w:rFonts w:ascii="仿宋_GB2312" w:hAnsi="仿宋_GB2312" w:eastAsia="仿宋_GB2312" w:cs="仿宋_GB2312"/>
          <w:sz w:val="32"/>
          <w:szCs w:val="32"/>
        </w:rPr>
        <w:t>202</w:t>
      </w:r>
      <w:r>
        <w:rPr>
          <w:rFonts w:hint="eastAsia" w:ascii="仿宋_GB2312" w:hAnsi="仿宋_GB2312" w:eastAsia="仿宋_GB2312" w:cs="仿宋_GB2312"/>
          <w:sz w:val="32"/>
          <w:szCs w:val="32"/>
        </w:rPr>
        <w:t>4年，学校主办、承办或协办国内学术会议138场，学院主办或承办学术讲座3</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0余场，其中“百家讲坛”23场，“钱塘青年学术沙龙”7期。</w:t>
      </w:r>
    </w:p>
    <w:p>
      <w:pPr>
        <w:widowControl/>
        <w:spacing w:line="560" w:lineRule="exact"/>
        <w:ind w:firstLine="643" w:firstLineChars="200"/>
        <w:jc w:val="both"/>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（三）合力攻坚克难，推动高能级平台建设布局</w:t>
      </w:r>
    </w:p>
    <w:p>
      <w:pPr>
        <w:widowControl/>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抓紧契机开展系统布局。紧紧抓住省重点实验室重组的契机，重新布局学校科技实验室体系，申报全程及时跟进，加强与上级部门对接沟通，通过开展专家论证、学术委员会会议、预答辩等形式推动实验室凝练主攻方向、明确攻关任务，并提供人财物投入做好实验室建设保障工作，最终成功获批生物育种与现代农业、大数据与信息安全、智能计算与人工智能领域全省重点实验室3个，双碳与环保技术、云计算与未来网络领域2个重点实验室已通过评审，正在建设方案完善中（</w:t>
      </w:r>
      <w:r>
        <w:rPr>
          <w:rFonts w:hint="eastAsia" w:ascii="仿宋_GB2312" w:hAnsi="仿宋_GB2312" w:eastAsia="仿宋_GB2312" w:cs="仿宋_GB2312"/>
          <w:b/>
          <w:bCs/>
          <w:sz w:val="32"/>
          <w:szCs w:val="32"/>
        </w:rPr>
        <w:t>7个申报指标获批5个</w:t>
      </w:r>
      <w:r>
        <w:rPr>
          <w:rFonts w:hint="eastAsia" w:ascii="仿宋_GB2312" w:hAnsi="仿宋_GB2312" w:eastAsia="仿宋_GB2312" w:cs="仿宋_GB2312"/>
          <w:sz w:val="32"/>
          <w:szCs w:val="32"/>
        </w:rPr>
        <w:t>）。积极探寻与省实验室等高能级科创平台合作路径，多次由校领导或科技部负责人带队与之江实验室、联合国统计大数据和数据科学全球中心进行交流对接，三方围绕助力统计学一流学科建设开展了深入讨论，初步达成了筹建数据科学联合实验室的合作意向，拟组建相关团队、设立攻关任务，推动联合实验室建设落地生花。</w:t>
      </w:r>
    </w:p>
    <w:p>
      <w:pPr>
        <w:widowControl/>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rPr>
        <w:t xml:space="preserve"> </w:t>
      </w:r>
      <w:r>
        <w:rPr>
          <w:rFonts w:hint="eastAsia" w:ascii="仿宋_GB2312" w:hAnsi="仿宋_GB2312" w:eastAsia="仿宋_GB2312" w:cs="仿宋_GB2312"/>
          <w:sz w:val="32"/>
          <w:szCs w:val="32"/>
        </w:rPr>
        <w:t>创新科创平台建设模式。依托统计学登峰学科，以“大数据”为抓手，加大拓深国际合作力度，建设统计大数据与智能分析技术国际科技合作基地，以期成为学校“工商融合、文理贯通”的学科交叉国际合作平台典范。持续深化与商务部合作，联合物产中大、传化智联、杭钢集团、义乌中国小商品城、浙大长三角智慧绿洲创新中心，共建商务部长三角商业技术应用创新中心。开展新一代电子商务技术与应用网络创新平台示范基地建设重组，联合管理、统计、计算机、管工、金融学院制定2024-2028年建设方案，打造学校“大数据+商贸”为一体的新型科技力量体系架构。</w:t>
      </w:r>
    </w:p>
    <w:p>
      <w:pPr>
        <w:widowControl/>
        <w:spacing w:before="156" w:beforeLines="50" w:line="560" w:lineRule="exact"/>
        <w:ind w:firstLine="643" w:firstLineChars="200"/>
        <w:jc w:val="both"/>
        <w:rPr>
          <w:rFonts w:hint="eastAsia" w:ascii="楷体_GB2312" w:hAnsi="楷体_GB2312" w:eastAsia="楷体_GB2312" w:cs="楷体_GB2312"/>
          <w:b/>
          <w:bCs/>
          <w:sz w:val="32"/>
          <w:szCs w:val="32"/>
          <w:u w:val="single"/>
        </w:rPr>
      </w:pPr>
      <w:r>
        <w:rPr>
          <w:rFonts w:hint="eastAsia" w:ascii="楷体_GB2312" w:hAnsi="楷体_GB2312" w:eastAsia="楷体_GB2312" w:cs="楷体_GB2312"/>
          <w:b/>
          <w:bCs/>
          <w:sz w:val="32"/>
          <w:szCs w:val="32"/>
        </w:rPr>
        <w:t>（四）加大产研合作，科技赋能地方经济发展</w:t>
      </w:r>
    </w:p>
    <w:p>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加强协同联动，有组织进行产研合作。衢江生命健康创新中心、宝盛数智餐厨技术研究中心于今年顺利签约落地，以绿谷食品健康产业研究院、桐乡人工智能研究院为龙头，洞头、苍南、温岭、义乌、永嘉等技术转移中心为支撑，12个异地科研机构搭建的社会服务网络体系初步形成，与平阳、龙湾、龙泉、安吉、嘉兴等20个地方科技局在技术转移中心、科技孵化器等方面达成合作意向。同时，联合地方政府加速推进浙江工商大学国家大学科技园创建工作。</w:t>
      </w:r>
    </w:p>
    <w:p>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优化产研模式，全方位助力乡村振兴。2024年，校科技部与相关职能部门、学院协同配合，带领专业教师团队和技术经纪人队伍，全年走访全省企业100余家，通过 “浙商大产学研供需发布平台”微信小程序，全年发布有效需求50余条，联合地方企业申报科技项目，打通高校科研人员与企业之间的壁垒，促进科技成果的有效转化与升级，为地方经济的高质量发展开辟了新路径。学校与浙江省产学研促进会共同举办校企合作对接会暨产学研合作圆桌会，同信息技术、生物医药、新能源、高端装备制造等领域的多位企业代表达成初步合作意向，共同推动我省科技与经济的深度融合与发展。</w:t>
      </w:r>
    </w:p>
    <w:p>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学校通过省科技厅、钱塘科学城等政府部门对外派出科技特派员（团）、博士入企人员等10余人。派遣1名省级科技特派员到衢州衢江，并与当地企业共建博士创新站，开发特色功能性食品，为地方特色产业转型提供人才支撑。派遣2支省级科技特派团到温州洞头、丽水庆元，为洞头羊栖菜、庆元食用菌等特色地方产业的可持续发展注入了强劲动力，共同推动地方经济的高质量发展。在省教育厅的牵头下，落实高校“1+1”对接赋能历史经典产业机制，对接其中的茶叶产业，发挥学校人才、学科、科研等优势，为我省历史经典产业高水平传承高质量发展注入新动能、增添新活力。助力永嘉县碧莲镇下岭根村乡村振兴，开展农技指导并帮助该村成功获批3个产业帮扶项目，共获资助67万元，发挥人才优势，与7家企事业单位共建实践教育基地，打造新型帮扶共同体“商大样板”。学校</w:t>
      </w:r>
      <w:r>
        <w:rPr>
          <w:rFonts w:ascii="仿宋_GB2312" w:hAnsi="仿宋_GB2312" w:eastAsia="仿宋_GB2312" w:cs="仿宋_GB2312"/>
          <w:sz w:val="32"/>
          <w:szCs w:val="32"/>
        </w:rPr>
        <w:t>《科技助鲵 绘就健康共富新图景》工作案例入选浙江省本科院校助力乡村振兴典型案例。</w:t>
      </w:r>
    </w:p>
    <w:p>
      <w:pPr>
        <w:widowControl/>
        <w:spacing w:before="156" w:beforeLines="50" w:line="560" w:lineRule="exact"/>
        <w:ind w:firstLine="643" w:firstLineChars="200"/>
        <w:jc w:val="both"/>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（五）加强靶向发力，谱写社会合作新篇章</w:t>
      </w:r>
    </w:p>
    <w:p>
      <w:pPr>
        <w:widowControl/>
        <w:spacing w:line="560" w:lineRule="exact"/>
        <w:ind w:firstLine="640" w:firstLineChars="200"/>
        <w:jc w:val="both"/>
        <w:rPr>
          <w:rFonts w:hint="eastAsia" w:ascii="楷体_GB2312" w:hAnsi="楷体_GB2312" w:eastAsia="楷体_GB2312" w:cs="楷体_GB2312"/>
          <w:b/>
          <w:bCs/>
          <w:sz w:val="32"/>
          <w:szCs w:val="32"/>
        </w:rPr>
      </w:pPr>
      <w:r>
        <w:rPr>
          <w:rFonts w:hint="eastAsia" w:ascii="仿宋_GB2312" w:hAnsi="仿宋_GB2312" w:eastAsia="仿宋_GB2312" w:cs="仿宋_GB2312"/>
          <w:sz w:val="32"/>
          <w:szCs w:val="32"/>
        </w:rPr>
        <w:t>1.使命引领，开创社会服务新局面。以省委、省政府决策部署为指引，牵头制定《浙江工商大学社会服务行动计划（2024—2027年）》。主动服务国家对口援疆战略，助力新疆理工学院教育高质量发展。积极对接浙江区域发展需求，全面实施“一院两厅（局）、一院五区（县）”社会服务联络机制。新增省审计厅、省司法厅、省检察院、省市场监督管理局等5个厅（局），湖州市、丽水莲都区等2个市、区（县）的合作，并以清单化、项目制推进合作落地见效。深化与杭州钱塘区、嘉兴桐乡市等已签约市、区（县），省退役军人事务厅、省商务厅等厅（局）的合作。</w:t>
      </w:r>
      <w:r>
        <w:rPr>
          <w:rFonts w:ascii="仿宋_GB2312" w:hAnsi="仿宋_GB2312" w:eastAsia="仿宋_GB2312" w:cs="仿宋_GB2312"/>
          <w:sz w:val="32"/>
          <w:szCs w:val="32"/>
        </w:rPr>
        <w:t>协同</w:t>
      </w:r>
      <w:r>
        <w:rPr>
          <w:rFonts w:hint="eastAsia" w:ascii="仿宋_GB2312" w:hAnsi="仿宋_GB2312" w:eastAsia="仿宋_GB2312" w:cs="仿宋_GB2312"/>
          <w:sz w:val="32"/>
          <w:szCs w:val="32"/>
        </w:rPr>
        <w:t>学校教育基金会</w:t>
      </w:r>
      <w:r>
        <w:rPr>
          <w:rFonts w:ascii="仿宋_GB2312" w:hAnsi="仿宋_GB2312" w:eastAsia="仿宋_GB2312" w:cs="仿宋_GB2312"/>
          <w:sz w:val="32"/>
          <w:szCs w:val="32"/>
        </w:rPr>
        <w:t>修订</w:t>
      </w:r>
      <w:r>
        <w:rPr>
          <w:rFonts w:hint="eastAsia" w:ascii="仿宋_GB2312" w:hAnsi="仿宋_GB2312" w:eastAsia="仿宋_GB2312" w:cs="仿宋_GB2312"/>
          <w:sz w:val="32"/>
          <w:szCs w:val="32"/>
        </w:rPr>
        <w:t>《浙江工商大学引荐社会捐赠奖励办法（试行）》《浙江工商大学捐赠收入财政配比资金管理办法》</w:t>
      </w:r>
      <w:r>
        <w:rPr>
          <w:rFonts w:ascii="仿宋_GB2312" w:hAnsi="仿宋_GB2312" w:eastAsia="仿宋_GB2312" w:cs="仿宋_GB2312"/>
          <w:sz w:val="32"/>
          <w:szCs w:val="32"/>
        </w:rPr>
        <w:t>，通过增设筹资引资项目团队奖励，鼓励教职工积极争取社会资源，构建多元社会服务体系</w:t>
      </w:r>
      <w:r>
        <w:rPr>
          <w:rFonts w:hint="eastAsia" w:ascii="仿宋_GB2312" w:hAnsi="仿宋_GB2312" w:eastAsia="仿宋_GB2312" w:cs="仿宋_GB2312"/>
          <w:sz w:val="32"/>
          <w:szCs w:val="32"/>
        </w:rPr>
        <w:t>。对接学校教工路校区振兴计划及双校区协同发展战略需求，开发《浙江工商大学高水平卓越大学建设捐赠项目》，拟向广大校友及社会各界募款，服务高水平大学建设。</w:t>
      </w:r>
    </w:p>
    <w:p>
      <w:pPr>
        <w:widowControl/>
        <w:spacing w:before="156" w:beforeLines="5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2.重点突围，推动重点项目落地落实。推动稻盛商学院项目落地，开发</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稻盛商学院及“稻盛商学院大楼”捐赠者共建方案</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服务800余位捐赠人，已到账捐赠款6249.17万元</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持续跟进浙商资产管理学院项目，已到账捐赠款2000万元。</w:t>
      </w:r>
      <w:r>
        <w:rPr>
          <w:rFonts w:ascii="仿宋_GB2312" w:hAnsi="仿宋_GB2312" w:eastAsia="仿宋_GB2312" w:cs="仿宋_GB2312"/>
          <w:sz w:val="32"/>
          <w:szCs w:val="32"/>
        </w:rPr>
        <w:t>持续跟进海信集团</w:t>
      </w:r>
      <w:r>
        <w:rPr>
          <w:rFonts w:hint="eastAsia" w:ascii="仿宋_GB2312" w:hAnsi="仿宋_GB2312" w:eastAsia="仿宋_GB2312" w:cs="仿宋_GB2312"/>
          <w:sz w:val="32"/>
          <w:szCs w:val="32"/>
        </w:rPr>
        <w:t>“数字战略研究院”“智慧校园研究院”合作项目</w:t>
      </w:r>
      <w:r>
        <w:rPr>
          <w:rFonts w:ascii="仿宋_GB2312" w:hAnsi="仿宋_GB2312" w:eastAsia="仿宋_GB2312" w:cs="仿宋_GB2312"/>
          <w:sz w:val="32"/>
          <w:szCs w:val="32"/>
        </w:rPr>
        <w:t>，督促相关学院推动项目落地见效。</w:t>
      </w:r>
      <w:r>
        <w:rPr>
          <w:rFonts w:hint="eastAsia" w:ascii="仿宋_GB2312" w:hAnsi="仿宋_GB2312" w:eastAsia="仿宋_GB2312" w:cs="仿宋_GB2312"/>
          <w:sz w:val="32"/>
          <w:szCs w:val="32"/>
        </w:rPr>
        <w:t>推进学校与湖州市、丽水莲都区、杭州联合银行、浙江省人民医院等合作协议签约</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落地。与湖州民政局、医疗保障局开展研究生联合培养、医疗保障改革与治理研究等合作。加快推动莲都区文旅莲商、产业科技相关合作落地。</w:t>
      </w:r>
      <w:r>
        <w:rPr>
          <w:rFonts w:ascii="仿宋_GB2312" w:hAnsi="仿宋_GB2312" w:eastAsia="仿宋_GB2312" w:cs="仿宋_GB2312"/>
          <w:sz w:val="32"/>
          <w:szCs w:val="32"/>
        </w:rPr>
        <w:t>常态化走访各学院，解读资源拓展、捐赠奖励等相关政策，调动全员参与社会服务的积极性</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多渠道、矩阵式宣传2个金牌服务团队、20个学院精品服务项目，制作社会服务精品手册2.0，力争打造</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商大标识</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社会服务体系；强化政企资源拓展，积极服务属地政府，持续开展</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名企进名校</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活动等，走访、联络京衡律师事务所、宁波银行、福建商会等校友单位、商会、行业协会100余家，深入探索校友企业的社会合作，赋能教工路校区振兴计划，服务高水平卓越大学建设。</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3.服务升级，迈进继续教育管理新阶段。完善管理制度</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制定标准合同</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常态化开展继续教育合作办学专项检查及整治工作，全方位推动继续教育规范有序发展。搭建数字化服务平台，实现线上办学管理全流程监管</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有效提升继续教育管理效能</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持续推进学校继续教育事业转型升级，协助学院培育如不良资产研修班等6个特色项目。学校获评“浙江农民大学省级专业院”。</w:t>
      </w:r>
      <w:r>
        <w:rPr>
          <w:rFonts w:ascii="仿宋_GB2312" w:hAnsi="仿宋_GB2312" w:eastAsia="仿宋_GB2312" w:cs="仿宋_GB2312"/>
          <w:sz w:val="32"/>
          <w:szCs w:val="32"/>
        </w:rPr>
        <w:t>打磨2项学习型社会建设项目</w:t>
      </w:r>
      <w:r>
        <w:rPr>
          <w:rFonts w:hint="eastAsia" w:ascii="仿宋_GB2312" w:hAnsi="仿宋_GB2312" w:eastAsia="仿宋_GB2312" w:cs="仿宋_GB2312"/>
          <w:sz w:val="32"/>
          <w:szCs w:val="32"/>
        </w:rPr>
        <w:t>，其中</w:t>
      </w:r>
      <w:r>
        <w:rPr>
          <w:rFonts w:ascii="仿宋_GB2312" w:hAnsi="仿宋_GB2312" w:eastAsia="仿宋_GB2312" w:cs="仿宋_GB2312"/>
          <w:sz w:val="32"/>
          <w:szCs w:val="32"/>
        </w:rPr>
        <w:t>“自学考试嵌入技工教育的机制创新探索”项目成功入选</w:t>
      </w:r>
      <w:r>
        <w:rPr>
          <w:rFonts w:hint="eastAsia" w:ascii="仿宋_GB2312" w:hAnsi="仿宋_GB2312" w:eastAsia="仿宋_GB2312" w:cs="仿宋_GB2312"/>
          <w:sz w:val="32"/>
          <w:szCs w:val="32"/>
        </w:rPr>
        <w:t>2024年学习型社会建设重点任务</w:t>
      </w:r>
      <w:r>
        <w:rPr>
          <w:rFonts w:ascii="仿宋_GB2312" w:hAnsi="仿宋_GB2312" w:eastAsia="仿宋_GB2312" w:cs="仿宋_GB2312"/>
          <w:sz w:val="32"/>
          <w:szCs w:val="32"/>
        </w:rPr>
        <w:t>“自学考试改革创新任务”培育建设名单。</w:t>
      </w:r>
    </w:p>
    <w:p>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keepNext w:val="0"/>
        <w:keepLines w:val="0"/>
        <w:pageBreakBefore w:val="0"/>
        <w:widowControl w:val="0"/>
        <w:kinsoku/>
        <w:wordWrap/>
        <w:overflowPunct/>
        <w:topLinePunct w:val="0"/>
        <w:autoSpaceDE/>
        <w:autoSpaceDN/>
        <w:bidi w:val="0"/>
        <w:adjustRightInd/>
        <w:snapToGrid/>
        <w:spacing w:line="560" w:lineRule="exact"/>
        <w:ind w:firstLine="0"/>
        <w:jc w:val="center"/>
        <w:textAlignment w:val="auto"/>
        <w:outlineLvl w:val="0"/>
        <w:rPr>
          <w:rFonts w:hint="eastAsia" w:ascii="方正小标宋简体" w:hAnsi="方正小标宋简体" w:eastAsia="方正小标宋简体" w:cs="方正小标宋简体"/>
          <w:b/>
          <w:bCs/>
          <w:kern w:val="44"/>
          <w:sz w:val="44"/>
          <w:szCs w:val="44"/>
        </w:rPr>
      </w:pPr>
      <w:bookmarkStart w:id="6" w:name="_Toc166238691"/>
      <w:r>
        <w:rPr>
          <w:rFonts w:hint="eastAsia" w:ascii="方正小标宋简体" w:hAnsi="方正小标宋简体" w:eastAsia="方正小标宋简体" w:cs="方正小标宋简体"/>
          <w:b/>
          <w:bCs/>
          <w:kern w:val="44"/>
          <w:sz w:val="44"/>
          <w:szCs w:val="44"/>
        </w:rPr>
        <w:t>202</w:t>
      </w:r>
      <w:r>
        <w:rPr>
          <w:rFonts w:hint="eastAsia" w:ascii="方正小标宋简体" w:hAnsi="方正小标宋简体" w:eastAsia="方正小标宋简体" w:cs="方正小标宋简体"/>
          <w:b/>
          <w:bCs/>
          <w:kern w:val="44"/>
          <w:sz w:val="44"/>
          <w:szCs w:val="44"/>
          <w:lang w:val="en-US" w:eastAsia="zh-CN"/>
        </w:rPr>
        <w:t>4</w:t>
      </w:r>
      <w:r>
        <w:rPr>
          <w:rFonts w:hint="eastAsia" w:ascii="方正小标宋简体" w:hAnsi="方正小标宋简体" w:eastAsia="方正小标宋简体" w:cs="方正小标宋简体"/>
          <w:b/>
          <w:bCs/>
          <w:kern w:val="44"/>
          <w:sz w:val="44"/>
          <w:szCs w:val="44"/>
        </w:rPr>
        <w:t>年本科生、研究生招生与就业工作</w:t>
      </w:r>
    </w:p>
    <w:p>
      <w:pPr>
        <w:keepNext w:val="0"/>
        <w:keepLines w:val="0"/>
        <w:pageBreakBefore w:val="0"/>
        <w:widowControl w:val="0"/>
        <w:kinsoku/>
        <w:wordWrap/>
        <w:overflowPunct/>
        <w:topLinePunct w:val="0"/>
        <w:autoSpaceDE/>
        <w:autoSpaceDN/>
        <w:bidi w:val="0"/>
        <w:adjustRightInd/>
        <w:snapToGrid/>
        <w:spacing w:after="0" w:afterLines="-2147483648" w:line="560" w:lineRule="exact"/>
        <w:ind w:firstLine="0"/>
        <w:jc w:val="center"/>
        <w:textAlignment w:val="auto"/>
        <w:outlineLvl w:val="0"/>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kern w:val="44"/>
          <w:sz w:val="44"/>
          <w:szCs w:val="44"/>
        </w:rPr>
        <w:t>公开报告</w:t>
      </w:r>
      <w:bookmarkEnd w:id="6"/>
    </w:p>
    <w:p>
      <w:pPr>
        <w:pStyle w:val="17"/>
        <w:spacing w:line="560" w:lineRule="exact"/>
        <w:ind w:firstLine="640"/>
        <w:jc w:val="both"/>
        <w:rPr>
          <w:rFonts w:ascii="黑体" w:hAnsi="黑体" w:eastAsia="黑体" w:cs="黑体"/>
          <w:b w:val="0"/>
          <w:bCs/>
          <w:sz w:val="32"/>
          <w:szCs w:val="32"/>
        </w:rPr>
      </w:pPr>
      <w:r>
        <w:rPr>
          <w:rFonts w:hint="eastAsia" w:ascii="黑体" w:hAnsi="黑体" w:eastAsia="黑体" w:cs="黑体"/>
          <w:b w:val="0"/>
          <w:bCs/>
          <w:sz w:val="32"/>
          <w:szCs w:val="32"/>
        </w:rPr>
        <w:t>一、基本情况</w:t>
      </w:r>
    </w:p>
    <w:p>
      <w:pPr>
        <w:pStyle w:val="17"/>
        <w:spacing w:line="560" w:lineRule="exact"/>
        <w:ind w:firstLine="640"/>
        <w:jc w:val="both"/>
        <w:rPr>
          <w:rFonts w:hAnsi="楷体_GB2312" w:cs="楷体_GB2312"/>
          <w:sz w:val="32"/>
          <w:szCs w:val="32"/>
        </w:rPr>
      </w:pPr>
      <w:r>
        <w:rPr>
          <w:rFonts w:hint="eastAsia" w:hAnsi="楷体_GB2312" w:cs="楷体_GB2312"/>
          <w:sz w:val="32"/>
          <w:szCs w:val="32"/>
        </w:rPr>
        <w:t>（一）招生情况</w:t>
      </w:r>
    </w:p>
    <w:p>
      <w:pPr>
        <w:tabs>
          <w:tab w:val="left" w:pos="1440"/>
          <w:tab w:val="center" w:pos="7076"/>
        </w:tabs>
        <w:spacing w:line="560" w:lineRule="exact"/>
        <w:ind w:firstLine="643" w:firstLineChars="200"/>
        <w:jc w:val="both"/>
        <w:rPr>
          <w:rFonts w:hint="eastAsia" w:ascii="仿宋_GB2312" w:hAnsi="仿宋_GB2312" w:eastAsia="仿宋_GB2312" w:cs="仿宋_GB2312"/>
          <w:kern w:val="0"/>
          <w:sz w:val="32"/>
          <w:szCs w:val="32"/>
        </w:rPr>
      </w:pPr>
      <w:r>
        <w:rPr>
          <w:rFonts w:hint="eastAsia" w:ascii="仿宋_GB2312" w:hAnsi="仿宋_GB2312" w:eastAsia="仿宋_GB2312" w:cs="仿宋_GB2312"/>
          <w:b/>
          <w:bCs/>
          <w:sz w:val="32"/>
          <w:szCs w:val="32"/>
          <w:lang w:val="en-US" w:eastAsia="zh-CN"/>
        </w:rPr>
        <w:t>本科生：</w:t>
      </w:r>
      <w:r>
        <w:rPr>
          <w:rFonts w:hint="eastAsia" w:ascii="仿宋_GB2312" w:hAnsi="仿宋_GB2312" w:eastAsia="仿宋_GB2312" w:cs="仿宋_GB2312"/>
          <w:kern w:val="0"/>
          <w:sz w:val="32"/>
          <w:szCs w:val="32"/>
        </w:rPr>
        <w:t>2024年，学校在全国28个省（市、区）及华侨港澳台的普通本科录取工作顺利完成，共录取学生4844人。其中，普通高考录取4156人、“三位一体”综合评价招生342人、少数民族预科班转入10人、少数民族预科班10人、普通高校专升本146人、行政管理（人民武装方向）70人、新疆内高班20人、港澳台15人、第二学士学位73人、国家民委专项2人。</w:t>
      </w:r>
    </w:p>
    <w:p>
      <w:pPr>
        <w:tabs>
          <w:tab w:val="left" w:pos="1440"/>
          <w:tab w:val="center" w:pos="7076"/>
        </w:tabs>
        <w:spacing w:line="560" w:lineRule="exact"/>
        <w:ind w:firstLine="643" w:firstLineChars="200"/>
        <w:jc w:val="both"/>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研究生：</w:t>
      </w:r>
      <w:r>
        <w:rPr>
          <w:rFonts w:hint="eastAsia" w:ascii="仿宋_GB2312" w:hAnsi="仿宋_GB2312" w:eastAsia="仿宋_GB2312" w:cs="仿宋_GB2312"/>
          <w:color w:val="auto"/>
          <w:kern w:val="0"/>
          <w:sz w:val="32"/>
          <w:szCs w:val="32"/>
          <w:highlight w:val="none"/>
        </w:rPr>
        <w:t>202</w:t>
      </w:r>
      <w:r>
        <w:rPr>
          <w:rFonts w:hint="eastAsia" w:ascii="仿宋_GB2312" w:hAnsi="仿宋_GB2312" w:eastAsia="仿宋_GB2312" w:cs="仿宋_GB2312"/>
          <w:color w:val="auto"/>
          <w:kern w:val="0"/>
          <w:sz w:val="32"/>
          <w:szCs w:val="32"/>
          <w:highlight w:val="none"/>
          <w:lang w:val="en-US" w:eastAsia="zh-CN"/>
        </w:rPr>
        <w:t>4</w:t>
      </w:r>
      <w:r>
        <w:rPr>
          <w:rFonts w:hint="eastAsia" w:ascii="仿宋_GB2312" w:hAnsi="仿宋_GB2312" w:eastAsia="仿宋_GB2312" w:cs="仿宋_GB2312"/>
          <w:color w:val="auto"/>
          <w:kern w:val="0"/>
          <w:sz w:val="32"/>
          <w:szCs w:val="32"/>
          <w:highlight w:val="none"/>
        </w:rPr>
        <w:t>年，学校共录取硕士研究生</w:t>
      </w:r>
      <w:r>
        <w:rPr>
          <w:rFonts w:hint="eastAsia" w:ascii="仿宋_GB2312" w:hAnsi="仿宋_GB2312" w:eastAsia="仿宋_GB2312" w:cs="仿宋_GB2312"/>
          <w:color w:val="auto"/>
          <w:kern w:val="0"/>
          <w:sz w:val="32"/>
          <w:szCs w:val="32"/>
          <w:highlight w:val="none"/>
          <w:lang w:val="en-US" w:eastAsia="zh-CN"/>
        </w:rPr>
        <w:t>2737</w:t>
      </w:r>
      <w:r>
        <w:rPr>
          <w:rFonts w:hint="eastAsia" w:ascii="仿宋_GB2312" w:hAnsi="仿宋_GB2312" w:eastAsia="仿宋_GB2312" w:cs="仿宋_GB2312"/>
          <w:color w:val="auto"/>
          <w:kern w:val="0"/>
          <w:sz w:val="32"/>
          <w:szCs w:val="32"/>
          <w:highlight w:val="none"/>
        </w:rPr>
        <w:t>人，其中，录取全日制学术型研究生8</w:t>
      </w:r>
      <w:r>
        <w:rPr>
          <w:rFonts w:hint="eastAsia" w:ascii="仿宋_GB2312" w:hAnsi="仿宋_GB2312" w:eastAsia="仿宋_GB2312" w:cs="仿宋_GB2312"/>
          <w:color w:val="auto"/>
          <w:kern w:val="0"/>
          <w:sz w:val="32"/>
          <w:szCs w:val="32"/>
          <w:highlight w:val="none"/>
          <w:lang w:val="en-US" w:eastAsia="zh-CN"/>
        </w:rPr>
        <w:t>83</w:t>
      </w:r>
      <w:r>
        <w:rPr>
          <w:rFonts w:hint="eastAsia" w:ascii="仿宋_GB2312" w:hAnsi="仿宋_GB2312" w:eastAsia="仿宋_GB2312" w:cs="仿宋_GB2312"/>
          <w:color w:val="auto"/>
          <w:kern w:val="0"/>
          <w:sz w:val="32"/>
          <w:szCs w:val="32"/>
          <w:highlight w:val="none"/>
        </w:rPr>
        <w:t>人，全日制专业学位研究生</w:t>
      </w:r>
      <w:r>
        <w:rPr>
          <w:rFonts w:hint="eastAsia" w:ascii="仿宋_GB2312" w:hAnsi="仿宋_GB2312" w:eastAsia="仿宋_GB2312" w:cs="仿宋_GB2312"/>
          <w:color w:val="auto"/>
          <w:kern w:val="0"/>
          <w:sz w:val="32"/>
          <w:szCs w:val="32"/>
          <w:highlight w:val="none"/>
          <w:lang w:val="en-US" w:eastAsia="zh-CN"/>
        </w:rPr>
        <w:t>1337</w:t>
      </w:r>
      <w:r>
        <w:rPr>
          <w:rFonts w:hint="eastAsia" w:ascii="仿宋_GB2312" w:hAnsi="仿宋_GB2312" w:eastAsia="仿宋_GB2312" w:cs="仿宋_GB2312"/>
          <w:color w:val="auto"/>
          <w:kern w:val="0"/>
          <w:sz w:val="32"/>
          <w:szCs w:val="32"/>
          <w:highlight w:val="none"/>
        </w:rPr>
        <w:t>人，非全日制专业学位研究生51</w:t>
      </w:r>
      <w:r>
        <w:rPr>
          <w:rFonts w:hint="eastAsia" w:ascii="仿宋_GB2312" w:hAnsi="仿宋_GB2312" w:eastAsia="仿宋_GB2312" w:cs="仿宋_GB2312"/>
          <w:color w:val="auto"/>
          <w:kern w:val="0"/>
          <w:sz w:val="32"/>
          <w:szCs w:val="32"/>
          <w:highlight w:val="none"/>
          <w:lang w:val="en-US" w:eastAsia="zh-CN"/>
        </w:rPr>
        <w:t>7</w:t>
      </w:r>
      <w:r>
        <w:rPr>
          <w:rFonts w:hint="eastAsia" w:ascii="仿宋_GB2312" w:hAnsi="仿宋_GB2312" w:eastAsia="仿宋_GB2312" w:cs="仿宋_GB2312"/>
          <w:color w:val="auto"/>
          <w:kern w:val="0"/>
          <w:sz w:val="32"/>
          <w:szCs w:val="32"/>
          <w:highlight w:val="none"/>
        </w:rPr>
        <w:t>人。博士研究生录取人数为1</w:t>
      </w:r>
      <w:r>
        <w:rPr>
          <w:rFonts w:hint="eastAsia" w:ascii="仿宋_GB2312" w:hAnsi="仿宋_GB2312" w:eastAsia="仿宋_GB2312" w:cs="仿宋_GB2312"/>
          <w:color w:val="auto"/>
          <w:kern w:val="0"/>
          <w:sz w:val="32"/>
          <w:szCs w:val="32"/>
          <w:highlight w:val="none"/>
          <w:lang w:val="en-US" w:eastAsia="zh-CN"/>
        </w:rPr>
        <w:t>55</w:t>
      </w:r>
      <w:r>
        <w:rPr>
          <w:rFonts w:hint="eastAsia" w:ascii="仿宋_GB2312" w:hAnsi="仿宋_GB2312" w:eastAsia="仿宋_GB2312" w:cs="仿宋_GB2312"/>
          <w:color w:val="auto"/>
          <w:kern w:val="0"/>
          <w:sz w:val="32"/>
          <w:szCs w:val="32"/>
          <w:highlight w:val="none"/>
        </w:rPr>
        <w:t>人（含中外合作专项计划</w:t>
      </w:r>
      <w:r>
        <w:rPr>
          <w:rFonts w:hint="eastAsia" w:ascii="仿宋_GB2312" w:hAnsi="仿宋_GB2312" w:eastAsia="仿宋_GB2312" w:cs="仿宋_GB2312"/>
          <w:color w:val="auto"/>
          <w:kern w:val="0"/>
          <w:sz w:val="32"/>
          <w:szCs w:val="32"/>
          <w:highlight w:val="none"/>
          <w:lang w:val="en-US" w:eastAsia="zh-CN"/>
        </w:rPr>
        <w:t>10</w:t>
      </w:r>
      <w:r>
        <w:rPr>
          <w:rFonts w:hint="eastAsia" w:ascii="仿宋_GB2312" w:hAnsi="仿宋_GB2312" w:eastAsia="仿宋_GB2312" w:cs="仿宋_GB2312"/>
          <w:color w:val="auto"/>
          <w:kern w:val="0"/>
          <w:sz w:val="32"/>
          <w:szCs w:val="32"/>
          <w:highlight w:val="none"/>
        </w:rPr>
        <w:t>人），其中，录取直博生</w:t>
      </w:r>
      <w:r>
        <w:rPr>
          <w:rFonts w:hint="eastAsia" w:ascii="仿宋_GB2312" w:hAnsi="仿宋_GB2312" w:eastAsia="仿宋_GB2312" w:cs="仿宋_GB2312"/>
          <w:color w:val="auto"/>
          <w:kern w:val="0"/>
          <w:sz w:val="32"/>
          <w:szCs w:val="32"/>
          <w:highlight w:val="none"/>
          <w:lang w:val="en-US" w:eastAsia="zh-CN"/>
        </w:rPr>
        <w:t>18</w:t>
      </w:r>
      <w:r>
        <w:rPr>
          <w:rFonts w:hint="eastAsia" w:ascii="仿宋_GB2312" w:hAnsi="仿宋_GB2312" w:eastAsia="仿宋_GB2312" w:cs="仿宋_GB2312"/>
          <w:color w:val="auto"/>
          <w:kern w:val="0"/>
          <w:sz w:val="32"/>
          <w:szCs w:val="32"/>
          <w:highlight w:val="none"/>
        </w:rPr>
        <w:t>人，硕博连读</w:t>
      </w:r>
      <w:r>
        <w:rPr>
          <w:rFonts w:hint="eastAsia" w:ascii="仿宋_GB2312" w:hAnsi="仿宋_GB2312" w:eastAsia="仿宋_GB2312" w:cs="仿宋_GB2312"/>
          <w:color w:val="auto"/>
          <w:kern w:val="0"/>
          <w:sz w:val="32"/>
          <w:szCs w:val="32"/>
          <w:highlight w:val="none"/>
          <w:lang w:val="en-US" w:eastAsia="zh-CN"/>
        </w:rPr>
        <w:t>9</w:t>
      </w:r>
      <w:r>
        <w:rPr>
          <w:rFonts w:hint="eastAsia" w:ascii="仿宋_GB2312" w:hAnsi="仿宋_GB2312" w:eastAsia="仿宋_GB2312" w:cs="仿宋_GB2312"/>
          <w:color w:val="auto"/>
          <w:kern w:val="0"/>
          <w:sz w:val="32"/>
          <w:szCs w:val="32"/>
          <w:highlight w:val="none"/>
        </w:rPr>
        <w:t>人，“申请-考核”制</w:t>
      </w:r>
      <w:r>
        <w:rPr>
          <w:rFonts w:hint="eastAsia" w:ascii="仿宋_GB2312" w:hAnsi="仿宋_GB2312" w:eastAsia="仿宋_GB2312" w:cs="仿宋_GB2312"/>
          <w:color w:val="auto"/>
          <w:kern w:val="0"/>
          <w:sz w:val="32"/>
          <w:szCs w:val="32"/>
          <w:highlight w:val="none"/>
          <w:lang w:val="en-US" w:eastAsia="zh-CN"/>
        </w:rPr>
        <w:t>128</w:t>
      </w:r>
      <w:r>
        <w:rPr>
          <w:rFonts w:hint="eastAsia" w:ascii="仿宋_GB2312" w:hAnsi="仿宋_GB2312" w:eastAsia="仿宋_GB2312" w:cs="仿宋_GB2312"/>
          <w:color w:val="auto"/>
          <w:kern w:val="0"/>
          <w:sz w:val="32"/>
          <w:szCs w:val="32"/>
          <w:highlight w:val="none"/>
        </w:rPr>
        <w:t>人。</w:t>
      </w:r>
    </w:p>
    <w:p>
      <w:pPr>
        <w:tabs>
          <w:tab w:val="left" w:pos="1440"/>
          <w:tab w:val="center" w:pos="7076"/>
        </w:tabs>
        <w:spacing w:line="560" w:lineRule="exact"/>
        <w:ind w:firstLine="643" w:firstLineChars="200"/>
        <w:jc w:val="both"/>
        <w:rPr>
          <w:rFonts w:hint="eastAsia" w:ascii="Times New Roman Regular" w:hAnsi="Times New Roman Regular" w:eastAsia="仿宋_GB2312" w:cs="Times New Roman Regular"/>
          <w:sz w:val="32"/>
          <w:highlight w:val="none"/>
          <w:lang w:val="en-US" w:eastAsia="zh-CN"/>
        </w:rPr>
      </w:pPr>
      <w:r>
        <w:rPr>
          <w:rFonts w:hint="eastAsia" w:ascii="仿宋_GB2312" w:hAnsi="仿宋_GB2312" w:eastAsia="仿宋_GB2312" w:cs="仿宋_GB2312"/>
          <w:b/>
          <w:bCs/>
          <w:sz w:val="32"/>
          <w:szCs w:val="32"/>
        </w:rPr>
        <w:t>国际生：</w:t>
      </w:r>
      <w:r>
        <w:rPr>
          <w:rFonts w:hint="eastAsia" w:ascii="Times New Roman Regular" w:hAnsi="Times New Roman Regular" w:eastAsia="仿宋_GB2312" w:cs="Times New Roman Regular"/>
          <w:sz w:val="32"/>
          <w:highlight w:val="none"/>
          <w:lang w:val="en-US" w:eastAsia="zh-CN"/>
        </w:rPr>
        <w:t>2024年</w:t>
      </w:r>
      <w:r>
        <w:rPr>
          <w:rFonts w:hint="default" w:ascii="Times New Roman Regular" w:hAnsi="Times New Roman Regular" w:eastAsia="仿宋_GB2312" w:cs="Times New Roman Regular"/>
          <w:sz w:val="32"/>
          <w:highlight w:val="none"/>
          <w:lang w:val="en-US" w:eastAsia="zh-CN"/>
        </w:rPr>
        <w:t>共录取新生282人</w:t>
      </w:r>
      <w:r>
        <w:rPr>
          <w:rFonts w:hint="eastAsia" w:ascii="Times New Roman Regular" w:hAnsi="Times New Roman Regular" w:eastAsia="仿宋_GB2312" w:cs="Times New Roman Regular"/>
          <w:sz w:val="32"/>
          <w:highlight w:val="none"/>
          <w:lang w:val="en-US" w:eastAsia="zh-CN"/>
        </w:rPr>
        <w:t>。其中，</w:t>
      </w:r>
      <w:r>
        <w:rPr>
          <w:rFonts w:hint="default" w:ascii="Times New Roman Regular" w:hAnsi="Times New Roman Regular" w:eastAsia="仿宋_GB2312" w:cs="Times New Roman Regular"/>
          <w:sz w:val="32"/>
          <w:highlight w:val="none"/>
          <w:lang w:val="en-US" w:eastAsia="zh-CN"/>
        </w:rPr>
        <w:t>学历新生103人</w:t>
      </w:r>
      <w:r>
        <w:rPr>
          <w:rFonts w:hint="eastAsia" w:ascii="Times New Roman Regular" w:hAnsi="Times New Roman Regular" w:eastAsia="仿宋_GB2312" w:cs="Times New Roman Regular"/>
          <w:sz w:val="32"/>
          <w:highlight w:val="none"/>
          <w:lang w:val="en-US" w:eastAsia="zh-CN"/>
        </w:rPr>
        <w:t>，包括</w:t>
      </w:r>
      <w:r>
        <w:rPr>
          <w:rFonts w:hint="default" w:ascii="Times New Roman Regular" w:hAnsi="Times New Roman Regular" w:eastAsia="仿宋_GB2312" w:cs="Times New Roman Regular"/>
          <w:sz w:val="32"/>
          <w:highlight w:val="none"/>
          <w:lang w:val="en-US" w:eastAsia="zh-CN"/>
        </w:rPr>
        <w:t>本科生62人、研究生41人</w:t>
      </w:r>
      <w:r>
        <w:rPr>
          <w:rFonts w:hint="eastAsia" w:ascii="Times New Roman Regular" w:hAnsi="Times New Roman Regular" w:eastAsia="仿宋_GB2312" w:cs="Times New Roman Regular"/>
          <w:sz w:val="32"/>
          <w:highlight w:val="none"/>
          <w:lang w:val="en-US" w:eastAsia="zh-CN"/>
        </w:rPr>
        <w:t>；</w:t>
      </w:r>
      <w:r>
        <w:rPr>
          <w:rFonts w:hint="default" w:ascii="Times New Roman Regular" w:hAnsi="Times New Roman Regular" w:eastAsia="仿宋_GB2312" w:cs="Times New Roman Regular"/>
          <w:sz w:val="32"/>
          <w:highlight w:val="none"/>
          <w:lang w:val="en-US" w:eastAsia="zh-CN"/>
        </w:rPr>
        <w:t>非学历生179人</w:t>
      </w:r>
      <w:r>
        <w:rPr>
          <w:rFonts w:hint="eastAsia" w:ascii="Times New Roman Regular" w:hAnsi="Times New Roman Regular" w:eastAsia="仿宋_GB2312" w:cs="Times New Roman Regular"/>
          <w:sz w:val="32"/>
          <w:highlight w:val="none"/>
          <w:lang w:val="en-US" w:eastAsia="zh-CN"/>
        </w:rPr>
        <w:t>，包括</w:t>
      </w:r>
      <w:r>
        <w:rPr>
          <w:rFonts w:hint="default" w:ascii="Times New Roman Regular" w:hAnsi="Times New Roman Regular" w:eastAsia="仿宋_GB2312" w:cs="Times New Roman Regular"/>
          <w:sz w:val="32"/>
          <w:highlight w:val="none"/>
          <w:lang w:val="en-US" w:eastAsia="zh-CN"/>
        </w:rPr>
        <w:t>春</w:t>
      </w:r>
      <w:r>
        <w:rPr>
          <w:rFonts w:hint="eastAsia" w:ascii="Times New Roman Regular" w:hAnsi="Times New Roman Regular" w:eastAsia="仿宋_GB2312" w:cs="Times New Roman Regular"/>
          <w:sz w:val="32"/>
          <w:highlight w:val="none"/>
          <w:lang w:val="en-US" w:eastAsia="zh-CN"/>
        </w:rPr>
        <w:t>季</w:t>
      </w:r>
      <w:r>
        <w:rPr>
          <w:rFonts w:hint="default" w:ascii="Times New Roman Regular" w:hAnsi="Times New Roman Regular" w:eastAsia="仿宋_GB2312" w:cs="Times New Roman Regular"/>
          <w:sz w:val="32"/>
          <w:highlight w:val="none"/>
          <w:lang w:val="en-US" w:eastAsia="zh-CN"/>
        </w:rPr>
        <w:t>语言生35人、秋</w:t>
      </w:r>
      <w:r>
        <w:rPr>
          <w:rFonts w:hint="eastAsia" w:ascii="Times New Roman Regular" w:hAnsi="Times New Roman Regular" w:eastAsia="仿宋_GB2312" w:cs="Times New Roman Regular"/>
          <w:sz w:val="32"/>
          <w:highlight w:val="none"/>
          <w:lang w:val="en-US" w:eastAsia="zh-CN"/>
        </w:rPr>
        <w:t>季</w:t>
      </w:r>
      <w:r>
        <w:rPr>
          <w:rFonts w:hint="default" w:ascii="Times New Roman Regular" w:hAnsi="Times New Roman Regular" w:eastAsia="仿宋_GB2312" w:cs="Times New Roman Regular"/>
          <w:sz w:val="32"/>
          <w:highlight w:val="none"/>
          <w:lang w:val="en-US" w:eastAsia="zh-CN"/>
        </w:rPr>
        <w:t>语言生127人、交换生10人、</w:t>
      </w:r>
      <w:r>
        <w:rPr>
          <w:rFonts w:hint="eastAsia" w:ascii="Times New Roman Regular" w:hAnsi="Times New Roman Regular" w:eastAsia="仿宋_GB2312" w:cs="Times New Roman Regular"/>
          <w:sz w:val="32"/>
          <w:highlight w:val="none"/>
          <w:lang w:val="en-US" w:eastAsia="zh-CN"/>
        </w:rPr>
        <w:t>暑期学校</w:t>
      </w:r>
      <w:r>
        <w:rPr>
          <w:rFonts w:hint="default" w:ascii="Times New Roman Regular" w:hAnsi="Times New Roman Regular" w:eastAsia="仿宋_GB2312" w:cs="Times New Roman Regular"/>
          <w:sz w:val="32"/>
          <w:highlight w:val="none"/>
          <w:lang w:val="en-US" w:eastAsia="zh-CN"/>
        </w:rPr>
        <w:t>语言生7人</w:t>
      </w:r>
      <w:r>
        <w:rPr>
          <w:rFonts w:hint="eastAsia" w:ascii="Times New Roman Regular" w:hAnsi="Times New Roman Regular" w:eastAsia="仿宋_GB2312" w:cs="Times New Roman Regular"/>
          <w:sz w:val="32"/>
          <w:highlight w:val="none"/>
          <w:lang w:val="en-US" w:eastAsia="zh-CN"/>
        </w:rPr>
        <w:t>。本年度招收国际学生中学历生占比36.5%，其中本科生占比60.2%，研究生占比39.8%。俄罗斯、印度尼西亚、泰国、马来西亚等成为主要生源国。</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bCs/>
          <w:sz w:val="32"/>
          <w:szCs w:val="32"/>
        </w:rPr>
      </w:pPr>
      <w:r>
        <w:rPr>
          <w:rFonts w:hint="eastAsia" w:ascii="Times New Roman Regular" w:hAnsi="Times New Roman Regular" w:eastAsia="仿宋_GB2312" w:cs="Times New Roman Regular"/>
          <w:sz w:val="32"/>
          <w:highlight w:val="none"/>
          <w:lang w:val="en-US" w:eastAsia="zh-CN"/>
        </w:rPr>
        <w:t>学校持续优化国际生生源结构和培养层次。2024年新招收国际学生中亚洲生源占比59.9%，欧洲生源占比超过非洲、达到25.8%。来自法国、比利时、日本、韩国等发达国家以及俄罗斯等中等发达国家新生65人，同比增长近两倍；学历新生中“一带一路”国家学生占比78.7%。硕博研究生均具备一定的学术能力，有多位毕业于哈尔滨工业大学、上海大学、中国石油大学等国内985、211高校，硕博生源质量不断提升。</w:t>
      </w:r>
    </w:p>
    <w:p>
      <w:pPr>
        <w:spacing w:line="560" w:lineRule="exact"/>
        <w:ind w:firstLine="643" w:firstLineChars="200"/>
        <w:jc w:val="both"/>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（二）就业情况</w:t>
      </w:r>
    </w:p>
    <w:p>
      <w:pPr>
        <w:pStyle w:val="17"/>
        <w:spacing w:line="560" w:lineRule="exact"/>
        <w:ind w:firstLine="640"/>
        <w:jc w:val="both"/>
        <w:rPr>
          <w:rFonts w:hint="eastAsia" w:ascii="仿宋_GB2312" w:hAnsi="仿宋_GB2312" w:eastAsia="仿宋_GB2312" w:cs="仿宋_GB2312"/>
          <w:b/>
          <w:bCs/>
          <w:sz w:val="32"/>
          <w:szCs w:val="32"/>
        </w:rPr>
      </w:pPr>
      <w:r>
        <w:rPr>
          <w:rFonts w:hint="eastAsia" w:ascii="仿宋_GB2312" w:hAnsi="仿宋_GB2312" w:eastAsia="仿宋_GB2312" w:cs="仿宋_GB2312"/>
          <w:b w:val="0"/>
          <w:color w:val="auto"/>
          <w:kern w:val="0"/>
          <w:sz w:val="32"/>
          <w:szCs w:val="32"/>
          <w:highlight w:val="none"/>
        </w:rPr>
        <w:t>202</w:t>
      </w:r>
      <w:r>
        <w:rPr>
          <w:rFonts w:hint="eastAsia" w:ascii="仿宋_GB2312" w:hAnsi="仿宋_GB2312" w:eastAsia="仿宋_GB2312" w:cs="仿宋_GB2312"/>
          <w:b w:val="0"/>
          <w:color w:val="auto"/>
          <w:kern w:val="0"/>
          <w:sz w:val="32"/>
          <w:szCs w:val="32"/>
          <w:highlight w:val="none"/>
          <w:lang w:val="en-US" w:eastAsia="zh-CN"/>
        </w:rPr>
        <w:t>4</w:t>
      </w:r>
      <w:r>
        <w:rPr>
          <w:rFonts w:hint="eastAsia" w:ascii="仿宋_GB2312" w:hAnsi="仿宋_GB2312" w:eastAsia="仿宋_GB2312" w:cs="仿宋_GB2312"/>
          <w:b w:val="0"/>
          <w:color w:val="auto"/>
          <w:kern w:val="0"/>
          <w:sz w:val="32"/>
          <w:szCs w:val="32"/>
          <w:highlight w:val="none"/>
        </w:rPr>
        <w:t>年，学校毕业生共有</w:t>
      </w:r>
      <w:r>
        <w:rPr>
          <w:rFonts w:hint="eastAsia" w:ascii="仿宋_GB2312" w:hAnsi="仿宋_GB2312" w:eastAsia="仿宋_GB2312" w:cs="仿宋_GB2312"/>
          <w:b w:val="0"/>
          <w:color w:val="auto"/>
          <w:kern w:val="0"/>
          <w:sz w:val="32"/>
          <w:szCs w:val="32"/>
          <w:highlight w:val="none"/>
          <w:lang w:val="en-US" w:eastAsia="zh-CN"/>
        </w:rPr>
        <w:t>6438</w:t>
      </w:r>
      <w:r>
        <w:rPr>
          <w:rFonts w:hint="eastAsia" w:ascii="仿宋_GB2312" w:hAnsi="仿宋_GB2312" w:eastAsia="仿宋_GB2312" w:cs="仿宋_GB2312"/>
          <w:b w:val="0"/>
          <w:color w:val="auto"/>
          <w:kern w:val="0"/>
          <w:sz w:val="32"/>
          <w:szCs w:val="32"/>
          <w:highlight w:val="none"/>
        </w:rPr>
        <w:t>人，总体毕业去向落实率为9</w:t>
      </w:r>
      <w:r>
        <w:rPr>
          <w:rFonts w:hint="eastAsia" w:ascii="仿宋_GB2312" w:hAnsi="仿宋_GB2312" w:eastAsia="仿宋_GB2312" w:cs="仿宋_GB2312"/>
          <w:b w:val="0"/>
          <w:color w:val="auto"/>
          <w:kern w:val="0"/>
          <w:sz w:val="32"/>
          <w:szCs w:val="32"/>
          <w:highlight w:val="none"/>
          <w:lang w:val="en-US" w:eastAsia="zh-CN"/>
        </w:rPr>
        <w:t>4.59</w:t>
      </w:r>
      <w:r>
        <w:rPr>
          <w:rFonts w:hint="eastAsia" w:ascii="仿宋_GB2312" w:hAnsi="仿宋_GB2312" w:eastAsia="仿宋_GB2312" w:cs="仿宋_GB2312"/>
          <w:b w:val="0"/>
          <w:color w:val="auto"/>
          <w:kern w:val="0"/>
          <w:sz w:val="32"/>
          <w:szCs w:val="32"/>
          <w:highlight w:val="none"/>
        </w:rPr>
        <w:t>%，处于省属本科高校前列。其中本科毕业生毕业去向落实率为9</w:t>
      </w:r>
      <w:r>
        <w:rPr>
          <w:rFonts w:hint="eastAsia" w:ascii="仿宋_GB2312" w:hAnsi="仿宋_GB2312" w:eastAsia="仿宋_GB2312" w:cs="仿宋_GB2312"/>
          <w:b w:val="0"/>
          <w:color w:val="auto"/>
          <w:kern w:val="0"/>
          <w:sz w:val="32"/>
          <w:szCs w:val="32"/>
          <w:highlight w:val="none"/>
          <w:lang w:val="en-US" w:eastAsia="zh-CN"/>
        </w:rPr>
        <w:t>4.07</w:t>
      </w:r>
      <w:r>
        <w:rPr>
          <w:rFonts w:hint="eastAsia" w:ascii="仿宋_GB2312" w:hAnsi="仿宋_GB2312" w:eastAsia="仿宋_GB2312" w:cs="仿宋_GB2312"/>
          <w:b w:val="0"/>
          <w:color w:val="auto"/>
          <w:kern w:val="0"/>
          <w:sz w:val="32"/>
          <w:szCs w:val="32"/>
          <w:highlight w:val="none"/>
        </w:rPr>
        <w:t>%，毕业研究生毕业去向落实率为9</w:t>
      </w:r>
      <w:r>
        <w:rPr>
          <w:rFonts w:hint="eastAsia" w:ascii="仿宋_GB2312" w:hAnsi="仿宋_GB2312" w:eastAsia="仿宋_GB2312" w:cs="仿宋_GB2312"/>
          <w:b w:val="0"/>
          <w:color w:val="auto"/>
          <w:kern w:val="0"/>
          <w:sz w:val="32"/>
          <w:szCs w:val="32"/>
          <w:highlight w:val="none"/>
          <w:lang w:val="en-US" w:eastAsia="zh-CN"/>
        </w:rPr>
        <w:t>5.41</w:t>
      </w:r>
      <w:r>
        <w:rPr>
          <w:rFonts w:hint="eastAsia" w:ascii="仿宋_GB2312" w:hAnsi="仿宋_GB2312" w:eastAsia="仿宋_GB2312" w:cs="仿宋_GB2312"/>
          <w:b w:val="0"/>
          <w:color w:val="auto"/>
          <w:kern w:val="0"/>
          <w:sz w:val="32"/>
          <w:szCs w:val="32"/>
          <w:highlight w:val="none"/>
        </w:rPr>
        <w:t>%。各类基层就业毕业生有35人，考取浙江省县乡机关选调生49名。本科毕业生继续深造的有</w:t>
      </w:r>
      <w:r>
        <w:rPr>
          <w:rFonts w:hint="eastAsia" w:ascii="仿宋_GB2312" w:hAnsi="仿宋_GB2312" w:eastAsia="仿宋_GB2312" w:cs="仿宋_GB2312"/>
          <w:b w:val="0"/>
          <w:color w:val="auto"/>
          <w:kern w:val="0"/>
          <w:sz w:val="32"/>
          <w:szCs w:val="32"/>
          <w:highlight w:val="none"/>
          <w:lang w:val="en-US" w:eastAsia="zh-CN"/>
        </w:rPr>
        <w:t>1514</w:t>
      </w:r>
      <w:r>
        <w:rPr>
          <w:rFonts w:hint="eastAsia" w:ascii="仿宋_GB2312" w:hAnsi="仿宋_GB2312" w:eastAsia="仿宋_GB2312" w:cs="仿宋_GB2312"/>
          <w:b w:val="0"/>
          <w:color w:val="auto"/>
          <w:kern w:val="0"/>
          <w:sz w:val="32"/>
          <w:szCs w:val="32"/>
          <w:highlight w:val="none"/>
        </w:rPr>
        <w:t>人，深造率为36.</w:t>
      </w:r>
      <w:r>
        <w:rPr>
          <w:rFonts w:hint="eastAsia" w:ascii="仿宋_GB2312" w:hAnsi="仿宋_GB2312" w:eastAsia="仿宋_GB2312" w:cs="仿宋_GB2312"/>
          <w:b w:val="0"/>
          <w:color w:val="auto"/>
          <w:kern w:val="0"/>
          <w:sz w:val="32"/>
          <w:szCs w:val="32"/>
          <w:highlight w:val="none"/>
          <w:lang w:val="en-US" w:eastAsia="zh-CN"/>
        </w:rPr>
        <w:t>50</w:t>
      </w:r>
      <w:r>
        <w:rPr>
          <w:rFonts w:hint="eastAsia" w:ascii="仿宋_GB2312" w:hAnsi="仿宋_GB2312" w:eastAsia="仿宋_GB2312" w:cs="仿宋_GB2312"/>
          <w:b w:val="0"/>
          <w:color w:val="auto"/>
          <w:kern w:val="0"/>
          <w:sz w:val="32"/>
          <w:szCs w:val="32"/>
          <w:highlight w:val="none"/>
        </w:rPr>
        <w:t>%。</w:t>
      </w:r>
    </w:p>
    <w:p>
      <w:pPr>
        <w:pStyle w:val="17"/>
        <w:spacing w:line="560" w:lineRule="exact"/>
        <w:ind w:firstLine="640"/>
        <w:jc w:val="both"/>
        <w:rPr>
          <w:rFonts w:hint="eastAsia" w:ascii="黑体" w:hAnsi="黑体" w:eastAsia="黑体" w:cs="黑体"/>
          <w:b w:val="0"/>
          <w:bCs/>
        </w:rPr>
      </w:pPr>
      <w:r>
        <w:rPr>
          <w:rFonts w:hint="eastAsia" w:ascii="黑体" w:hAnsi="黑体" w:eastAsia="黑体" w:cs="黑体"/>
          <w:b w:val="0"/>
          <w:bCs/>
        </w:rPr>
        <w:t>二、工作举措</w:t>
      </w:r>
    </w:p>
    <w:p>
      <w:pPr>
        <w:pStyle w:val="17"/>
        <w:spacing w:line="560" w:lineRule="exact"/>
        <w:ind w:firstLine="640"/>
        <w:jc w:val="both"/>
        <w:rPr>
          <w:rFonts w:hint="eastAsia" w:hAnsi="楷体_GB2312" w:cs="楷体_GB2312"/>
          <w:bCs/>
        </w:rPr>
      </w:pPr>
      <w:r>
        <w:rPr>
          <w:rFonts w:hint="eastAsia" w:hAnsi="楷体_GB2312" w:cs="楷体_GB2312"/>
          <w:bCs/>
        </w:rPr>
        <w:t>（一）招生工作</w:t>
      </w:r>
    </w:p>
    <w:p>
      <w:pPr>
        <w:pStyle w:val="17"/>
        <w:spacing w:line="560" w:lineRule="exact"/>
        <w:ind w:firstLine="640"/>
        <w:jc w:val="both"/>
        <w:rPr>
          <w:rFonts w:hint="eastAsia" w:ascii="仿宋_GB2312" w:hAnsi="仿宋_GB2312" w:eastAsia="仿宋_GB2312" w:cs="仿宋_GB2312"/>
          <w:bCs/>
          <w:kern w:val="0"/>
        </w:rPr>
      </w:pPr>
      <w:r>
        <w:rPr>
          <w:rFonts w:hint="eastAsia" w:ascii="仿宋_GB2312" w:hAnsi="仿宋_GB2312" w:eastAsia="仿宋_GB2312" w:cs="仿宋_GB2312"/>
          <w:bCs/>
          <w:kern w:val="0"/>
        </w:rPr>
        <w:t>1.本科招生工作</w:t>
      </w:r>
    </w:p>
    <w:p>
      <w:pPr>
        <w:pStyle w:val="17"/>
        <w:spacing w:line="560" w:lineRule="exact"/>
        <w:ind w:firstLine="640"/>
        <w:rPr>
          <w:rFonts w:hint="eastAsia" w:ascii="仿宋_GB2312" w:hAnsi="仿宋_GB2312" w:eastAsia="仿宋_GB2312" w:cs="仿宋_GB2312"/>
          <w:b w:val="0"/>
          <w:kern w:val="0"/>
        </w:rPr>
      </w:pPr>
      <w:r>
        <w:rPr>
          <w:rFonts w:hint="eastAsia" w:ascii="仿宋_GB2312" w:hAnsi="仿宋_GB2312" w:eastAsia="仿宋_GB2312" w:cs="仿宋_GB2312"/>
          <w:b w:val="0"/>
          <w:kern w:val="0"/>
        </w:rPr>
        <w:t>（1）</w:t>
      </w:r>
      <w:r>
        <w:rPr>
          <w:rFonts w:hint="eastAsia" w:ascii="仿宋_GB2312" w:hAnsi="仿宋_GB2312" w:eastAsia="仿宋_GB2312" w:cs="仿宋_GB2312"/>
          <w:b w:val="0"/>
          <w:kern w:val="0"/>
          <w:lang w:val="en-US" w:eastAsia="zh-CN"/>
        </w:rPr>
        <w:t>多项举措显成效，</w:t>
      </w:r>
      <w:r>
        <w:rPr>
          <w:rFonts w:hint="eastAsia" w:ascii="仿宋_GB2312" w:hAnsi="仿宋_GB2312" w:eastAsia="仿宋_GB2312" w:cs="仿宋_GB2312"/>
          <w:b w:val="0"/>
          <w:kern w:val="0"/>
        </w:rPr>
        <w:t>调整计划优结构</w:t>
      </w:r>
    </w:p>
    <w:p>
      <w:pPr>
        <w:pStyle w:val="17"/>
        <w:spacing w:line="560" w:lineRule="exact"/>
        <w:ind w:firstLine="640"/>
        <w:rPr>
          <w:rFonts w:hint="eastAsia" w:ascii="仿宋_GB2312" w:hAnsi="仿宋_GB2312" w:eastAsia="仿宋_GB2312" w:cs="仿宋_GB2312"/>
          <w:b w:val="0"/>
          <w:kern w:val="0"/>
        </w:rPr>
      </w:pPr>
      <w:r>
        <w:rPr>
          <w:rFonts w:hint="eastAsia" w:ascii="仿宋_GB2312" w:hAnsi="仿宋_GB2312" w:eastAsia="仿宋_GB2312" w:cs="仿宋_GB2312"/>
          <w:b w:val="0"/>
          <w:kern w:val="0"/>
        </w:rPr>
        <w:t>调整招生计划结构，不断提升生源质量。一是增加出省计划，首次成功实现跨省校际交换计划，和西南政法大学、河南大学等5所高校5个省考试院签订交换协议，出省计划由2023年的1603人增加至2024年的1720人。二是积极争取优本计划。2024年优本计划由200人增加到300人。三是优化投放计划。保障统计学科冲击登峰学科，减少统计学科在定向、国家专项、新疆等生源差省的招生计划，优化该学科省外计划。此外，减少日语、公共管理类、外国语言文学类等专业类计划，增加法学类、计算机类、艺术类等专业类计划。四是调整招生类别。在“三位一体”综合评价招生中新增金融学（普惠金融创新班）和中外合作专业招生，去除法学、统计等专业招生。</w:t>
      </w:r>
    </w:p>
    <w:p>
      <w:pPr>
        <w:pStyle w:val="17"/>
        <w:spacing w:line="560" w:lineRule="exact"/>
        <w:ind w:firstLine="640"/>
        <w:rPr>
          <w:rFonts w:hint="default" w:ascii="仿宋_GB2312" w:hAnsi="仿宋_GB2312" w:eastAsia="仿宋_GB2312" w:cs="仿宋_GB2312"/>
          <w:b w:val="0"/>
          <w:kern w:val="0"/>
          <w:lang w:val="en-US"/>
        </w:rPr>
      </w:pPr>
      <w:r>
        <w:rPr>
          <w:rFonts w:hint="eastAsia" w:ascii="仿宋_GB2312" w:hAnsi="仿宋_GB2312" w:eastAsia="仿宋_GB2312" w:cs="仿宋_GB2312"/>
          <w:b w:val="0"/>
          <w:kern w:val="0"/>
        </w:rPr>
        <w:t>（2）</w:t>
      </w:r>
      <w:r>
        <w:rPr>
          <w:rFonts w:hint="eastAsia" w:ascii="仿宋_GB2312" w:hAnsi="仿宋_GB2312" w:eastAsia="仿宋_GB2312" w:cs="仿宋_GB2312"/>
          <w:b w:val="0"/>
          <w:kern w:val="0"/>
          <w:lang w:val="en-US" w:eastAsia="zh-CN"/>
        </w:rPr>
        <w:t>新增3个创新班，深化人才培养源动力</w:t>
      </w:r>
    </w:p>
    <w:p>
      <w:pPr>
        <w:pStyle w:val="17"/>
        <w:spacing w:line="560" w:lineRule="exact"/>
        <w:ind w:firstLine="640"/>
        <w:rPr>
          <w:rFonts w:hint="eastAsia" w:ascii="仿宋_GB2312" w:hAnsi="仿宋_GB2312" w:eastAsia="仿宋_GB2312" w:cs="仿宋_GB2312"/>
          <w:b w:val="0"/>
          <w:kern w:val="0"/>
        </w:rPr>
      </w:pPr>
      <w:r>
        <w:rPr>
          <w:rFonts w:hint="eastAsia" w:ascii="仿宋_GB2312" w:hAnsi="仿宋_GB2312" w:eastAsia="仿宋_GB2312" w:cs="仿宋_GB2312"/>
          <w:b w:val="0"/>
          <w:kern w:val="0"/>
        </w:rPr>
        <w:t>2024年，新成功申报3个创新班。吸引了一波高分考生，投档分和投档位次均高于同专业普通班。分别是旅游管理（数字文旅创新班）、行政管理（数字治理创新班）、金融学（普惠金融创新班），加上2022、2023年设立的经济统计学（拔尖人才创新班）、工商管理（数字管理拔尖人才创新班）、经济学（拔尖人才创新班）、投资学（资产管理创新班）、电子商务（跨境电商与商务智能创新班）、信息管理与信息系统 (大数据管理创新班），学校现共有9个创新班。</w:t>
      </w:r>
    </w:p>
    <w:p>
      <w:pPr>
        <w:pStyle w:val="17"/>
        <w:spacing w:line="560" w:lineRule="exact"/>
        <w:ind w:firstLine="640"/>
        <w:rPr>
          <w:rFonts w:hint="eastAsia" w:ascii="仿宋_GB2312" w:hAnsi="仿宋_GB2312" w:eastAsia="仿宋_GB2312" w:cs="仿宋_GB2312"/>
          <w:b w:val="0"/>
          <w:kern w:val="0"/>
        </w:rPr>
      </w:pPr>
      <w:r>
        <w:rPr>
          <w:rFonts w:hint="eastAsia" w:ascii="仿宋_GB2312" w:hAnsi="仿宋_GB2312" w:eastAsia="仿宋_GB2312" w:cs="仿宋_GB2312"/>
          <w:b w:val="0"/>
          <w:kern w:val="0"/>
        </w:rPr>
        <w:t>（3）</w:t>
      </w:r>
      <w:r>
        <w:rPr>
          <w:rFonts w:hint="eastAsia" w:ascii="仿宋_GB2312" w:hAnsi="仿宋_GB2312" w:eastAsia="仿宋_GB2312" w:cs="仿宋_GB2312"/>
          <w:b w:val="0"/>
          <w:kern w:val="0"/>
          <w:lang w:val="en-US" w:eastAsia="zh-CN"/>
        </w:rPr>
        <w:t>线上线下全覆盖，</w:t>
      </w:r>
      <w:r>
        <w:rPr>
          <w:rFonts w:hint="eastAsia" w:ascii="仿宋_GB2312" w:hAnsi="仿宋_GB2312" w:eastAsia="仿宋_GB2312" w:cs="仿宋_GB2312"/>
          <w:b w:val="0"/>
          <w:kern w:val="0"/>
        </w:rPr>
        <w:t>加大宣传提效度</w:t>
      </w:r>
    </w:p>
    <w:p>
      <w:pPr>
        <w:pStyle w:val="17"/>
        <w:spacing w:line="560" w:lineRule="exact"/>
        <w:ind w:firstLine="640"/>
        <w:jc w:val="both"/>
      </w:pPr>
      <w:r>
        <w:rPr>
          <w:rFonts w:hint="eastAsia" w:ascii="仿宋_GB2312" w:hAnsi="仿宋_GB2312" w:eastAsia="仿宋_GB2312" w:cs="仿宋_GB2312"/>
          <w:b w:val="0"/>
          <w:kern w:val="0"/>
        </w:rPr>
        <w:t>2024年，在扩大宣传覆盖面的基础上重点提高有效性，增加宣传吸引力，实现重点生源中学宣传覆盖率100%。一是增加宣传品类。新推出40余名教授主讲的“共赴卓越”高中微课、优化校园开放日研学项目2.0版，把学校海报、触摸屏摆进500余所高中；开展“共赴卓越，挑战99+”招生宣传短视频大赛播放量达到289.7万次；开展“商大邮局”给高考生寄送明信片等活动。二是增加曝光频次。采用地理信息围栏技术，与浙江日报、浙江卫视、腾讯视频等16家招生主流媒体合作，参加《招办主任面对面》《王牌专业解读》等 11个平台直播，定向精准推送家长、考生人群超2100万人次；招生咨询电话、微信小程序累计咨询 4.8万人次（截至11月底），咨询量较上年提升15%。三是增加与受众的情感链接。与学军集团、杭高集团等71所重点生源基地签约；组织学校师生开展线下招生宣传和咨询192场；向高中寄送招生录取喜报118份；校园开放日接待2500余名高中师生。四是内容升级。打造校长访谈、选择商大和学院的N个理由、一张图看懂专业、寻找商大代言人等系列报道；成功举办第十七届“回访母校”实践活动，师生1860余人回到25个省份的502所高中母校宣传商大；</w:t>
      </w:r>
      <w:r>
        <w:rPr>
          <w:rFonts w:hint="eastAsia" w:ascii="仿宋_GB2312" w:hAnsi="仿宋_GB2312" w:eastAsia="仿宋_GB2312" w:cs="仿宋_GB2312"/>
          <w:b w:val="0"/>
          <w:kern w:val="0"/>
          <w:lang w:val="en-US" w:eastAsia="zh-CN"/>
        </w:rPr>
        <w:t>形成</w:t>
      </w:r>
      <w:r>
        <w:rPr>
          <w:rFonts w:hint="eastAsia" w:ascii="仿宋_GB2312" w:hAnsi="仿宋_GB2312" w:eastAsia="仿宋_GB2312" w:cs="仿宋_GB2312"/>
          <w:b w:val="0"/>
          <w:kern w:val="0"/>
        </w:rPr>
        <w:t>校长说、教授说、学长说、校友说、名家说、家长说等360度</w:t>
      </w:r>
      <w:r>
        <w:rPr>
          <w:rFonts w:hint="eastAsia" w:ascii="仿宋_GB2312" w:hAnsi="仿宋_GB2312" w:eastAsia="仿宋_GB2312" w:cs="仿宋_GB2312"/>
          <w:b w:val="0"/>
          <w:kern w:val="0"/>
          <w:lang w:val="en-US" w:eastAsia="zh-CN"/>
        </w:rPr>
        <w:t>全媒体矩阵</w:t>
      </w:r>
      <w:r>
        <w:rPr>
          <w:rFonts w:hint="eastAsia" w:ascii="仿宋_GB2312" w:hAnsi="仿宋_GB2312" w:eastAsia="仿宋_GB2312" w:cs="仿宋_GB2312"/>
          <w:b w:val="0"/>
          <w:kern w:val="0"/>
        </w:rPr>
        <w:t>宣传；</w:t>
      </w:r>
      <w:r>
        <w:rPr>
          <w:rFonts w:hint="eastAsia" w:ascii="仿宋_GB2312" w:hAnsi="仿宋_GB2312" w:eastAsia="仿宋_GB2312" w:cs="仿宋_GB2312"/>
          <w:b w:val="0"/>
          <w:kern w:val="0"/>
          <w:lang w:val="en-US" w:eastAsia="zh-CN"/>
        </w:rPr>
        <w:t>面向</w:t>
      </w:r>
      <w:r>
        <w:rPr>
          <w:rFonts w:hint="eastAsia" w:ascii="仿宋_GB2312" w:hAnsi="仿宋_GB2312" w:eastAsia="仿宋_GB2312" w:cs="仿宋_GB2312"/>
          <w:b w:val="0"/>
          <w:kern w:val="0"/>
        </w:rPr>
        <w:t>高中负责人、教师、学生、家长</w:t>
      </w:r>
      <w:r>
        <w:rPr>
          <w:rFonts w:hint="eastAsia" w:ascii="仿宋_GB2312" w:hAnsi="仿宋_GB2312" w:eastAsia="仿宋_GB2312" w:cs="仿宋_GB2312"/>
          <w:b w:val="0"/>
          <w:kern w:val="0"/>
          <w:lang w:val="en-US" w:eastAsia="zh-CN"/>
        </w:rPr>
        <w:t>等群体，</w:t>
      </w:r>
      <w:r>
        <w:rPr>
          <w:rFonts w:hint="eastAsia" w:ascii="仿宋_GB2312" w:hAnsi="仿宋_GB2312" w:eastAsia="仿宋_GB2312" w:cs="仿宋_GB2312"/>
          <w:b w:val="0"/>
          <w:kern w:val="0"/>
        </w:rPr>
        <w:t>举办“智汇商大·启梦未来”系列新生座谈会20场。</w:t>
      </w:r>
    </w:p>
    <w:p>
      <w:pPr>
        <w:pStyle w:val="17"/>
        <w:keepNext w:val="0"/>
        <w:keepLines w:val="0"/>
        <w:pageBreakBefore w:val="0"/>
        <w:widowControl w:val="0"/>
        <w:kinsoku/>
        <w:wordWrap/>
        <w:overflowPunct/>
        <w:topLinePunct w:val="0"/>
        <w:autoSpaceDE/>
        <w:autoSpaceDN/>
        <w:bidi w:val="0"/>
        <w:spacing w:line="560" w:lineRule="exact"/>
        <w:ind w:firstLine="640"/>
        <w:jc w:val="both"/>
        <w:textAlignment w:val="auto"/>
        <w:rPr>
          <w:rFonts w:hint="eastAsia" w:hAnsi="楷体_GB2312" w:cs="楷体_GB2312"/>
          <w:sz w:val="32"/>
          <w:szCs w:val="32"/>
        </w:rPr>
      </w:pPr>
      <w:r>
        <w:rPr>
          <w:rFonts w:hint="eastAsia" w:hAnsi="楷体_GB2312" w:cs="楷体_GB2312"/>
          <w:sz w:val="32"/>
          <w:szCs w:val="32"/>
          <w:lang w:val="en-US" w:eastAsia="zh-CN"/>
        </w:rPr>
        <w:t>2.</w:t>
      </w:r>
      <w:r>
        <w:rPr>
          <w:rFonts w:hint="eastAsia" w:hAnsi="楷体_GB2312" w:cs="楷体_GB2312"/>
          <w:sz w:val="32"/>
          <w:szCs w:val="32"/>
        </w:rPr>
        <w:t>研究生招生工作</w:t>
      </w:r>
    </w:p>
    <w:p>
      <w:pPr>
        <w:pStyle w:val="17"/>
        <w:keepNext w:val="0"/>
        <w:keepLines w:val="0"/>
        <w:pageBreakBefore w:val="0"/>
        <w:widowControl w:val="0"/>
        <w:kinsoku/>
        <w:wordWrap/>
        <w:overflowPunct/>
        <w:topLinePunct w:val="0"/>
        <w:autoSpaceDE/>
        <w:autoSpaceDN/>
        <w:bidi w:val="0"/>
        <w:adjustRightInd w:val="0"/>
        <w:snapToGrid w:val="0"/>
        <w:spacing w:line="560" w:lineRule="exact"/>
        <w:ind w:firstLine="640"/>
        <w:jc w:val="both"/>
        <w:textAlignment w:val="auto"/>
        <w:rPr>
          <w:rFonts w:hint="eastAsia" w:ascii="仿宋_GB2312" w:hAnsi="仿宋_GB2312" w:eastAsia="仿宋_GB2312" w:cs="仿宋_GB2312"/>
          <w:b w:val="0"/>
          <w:bCs/>
          <w:color w:val="auto"/>
          <w:kern w:val="0"/>
          <w:sz w:val="32"/>
          <w:szCs w:val="32"/>
          <w:highlight w:val="none"/>
        </w:rPr>
      </w:pPr>
      <w:r>
        <w:rPr>
          <w:rFonts w:hint="eastAsia" w:ascii="仿宋_GB2312" w:hAnsi="仿宋_GB2312" w:eastAsia="仿宋_GB2312" w:cs="仿宋_GB2312"/>
          <w:b w:val="0"/>
          <w:bCs/>
          <w:color w:val="auto"/>
          <w:kern w:val="0"/>
          <w:sz w:val="32"/>
          <w:szCs w:val="32"/>
          <w:highlight w:val="none"/>
        </w:rPr>
        <w:t>（1）多措并举强化宣传，切实提高生源质量</w:t>
      </w:r>
    </w:p>
    <w:p>
      <w:pPr>
        <w:pStyle w:val="17"/>
        <w:keepNext w:val="0"/>
        <w:keepLines w:val="0"/>
        <w:pageBreakBefore w:val="0"/>
        <w:widowControl w:val="0"/>
        <w:kinsoku/>
        <w:wordWrap/>
        <w:overflowPunct/>
        <w:topLinePunct w:val="0"/>
        <w:autoSpaceDE/>
        <w:autoSpaceDN/>
        <w:bidi w:val="0"/>
        <w:adjustRightInd w:val="0"/>
        <w:snapToGrid w:val="0"/>
        <w:spacing w:line="560" w:lineRule="exact"/>
        <w:ind w:firstLine="640"/>
        <w:jc w:val="both"/>
        <w:textAlignment w:val="auto"/>
        <w:rPr>
          <w:rFonts w:hint="eastAsia" w:ascii="仿宋_GB2312" w:hAnsi="仿宋_GB2312" w:eastAsia="仿宋_GB2312" w:cs="仿宋_GB2312"/>
          <w:b w:val="0"/>
          <w:bCs/>
          <w:color w:val="auto"/>
          <w:kern w:val="0"/>
          <w:sz w:val="32"/>
          <w:szCs w:val="32"/>
          <w:highlight w:val="none"/>
        </w:rPr>
      </w:pPr>
      <w:r>
        <w:rPr>
          <w:rFonts w:hint="eastAsia" w:ascii="仿宋_GB2312" w:hAnsi="仿宋_GB2312" w:eastAsia="仿宋_GB2312" w:cs="仿宋_GB2312"/>
          <w:b w:val="0"/>
          <w:bCs/>
          <w:color w:val="auto"/>
          <w:kern w:val="0"/>
          <w:sz w:val="32"/>
          <w:szCs w:val="32"/>
          <w:highlight w:val="none"/>
        </w:rPr>
        <w:t>采取“校-院-专业”三级联动的招生宣传策略，拓宽招生渠道并增强吸引力。通过举办招生宣讲直播、暑期精英夏令营、专业专题招生讲座以及在新媒体平台上精准投放招生广告等多维度宣传手段，全面铺开研究生招生宣传攻势。2024年暑期，特别策划并推出了“商大校长说”等21场高质量的研究生招生宣讲系列直播活动，吸引了超过139万人次的热烈关注，观看人数创历史新高。此外，积极推行本科教育与研究生教育的无缝衔接，通过策划“我与商大录取通知书的故事”“首届本硕博一体化直博生卓越风采展示”等一系列富有感染力的宣传活动，进一步增强了本校优秀学生留校攻读硕士及博士学位的意愿，为提升研究生生源质量打好基础。2024年硕士研究生报考人数为15046人，录取</w:t>
      </w:r>
      <w:r>
        <w:rPr>
          <w:rFonts w:hint="eastAsia" w:ascii="仿宋_GB2312" w:hAnsi="仿宋_GB2312" w:eastAsia="仿宋_GB2312" w:cs="仿宋_GB2312"/>
          <w:b w:val="0"/>
          <w:bCs/>
          <w:color w:val="auto"/>
          <w:kern w:val="0"/>
          <w:sz w:val="32"/>
          <w:szCs w:val="32"/>
          <w:highlight w:val="none"/>
          <w:lang w:val="en-US" w:eastAsia="zh-CN"/>
        </w:rPr>
        <w:t>人数为</w:t>
      </w:r>
      <w:r>
        <w:rPr>
          <w:rFonts w:hint="eastAsia" w:ascii="仿宋_GB2312" w:hAnsi="仿宋_GB2312" w:eastAsia="仿宋_GB2312" w:cs="仿宋_GB2312"/>
          <w:b w:val="0"/>
          <w:bCs/>
          <w:color w:val="auto"/>
          <w:kern w:val="0"/>
          <w:sz w:val="32"/>
          <w:szCs w:val="32"/>
          <w:highlight w:val="none"/>
        </w:rPr>
        <w:t>2737人，一志愿录取率达82%，位列省属高校前茅。2024年博士研究生报考人数为485人，录取</w:t>
      </w:r>
      <w:r>
        <w:rPr>
          <w:rFonts w:hint="eastAsia" w:ascii="仿宋_GB2312" w:hAnsi="仿宋_GB2312" w:eastAsia="仿宋_GB2312" w:cs="仿宋_GB2312"/>
          <w:b w:val="0"/>
          <w:bCs/>
          <w:color w:val="auto"/>
          <w:kern w:val="0"/>
          <w:sz w:val="32"/>
          <w:szCs w:val="32"/>
          <w:highlight w:val="none"/>
          <w:lang w:val="en-US" w:eastAsia="zh-CN"/>
        </w:rPr>
        <w:t>人数为</w:t>
      </w:r>
      <w:r>
        <w:rPr>
          <w:rFonts w:hint="eastAsia" w:ascii="仿宋_GB2312" w:hAnsi="仿宋_GB2312" w:eastAsia="仿宋_GB2312" w:cs="仿宋_GB2312"/>
          <w:b w:val="0"/>
          <w:bCs/>
          <w:color w:val="auto"/>
          <w:kern w:val="0"/>
          <w:sz w:val="32"/>
          <w:szCs w:val="32"/>
          <w:highlight w:val="none"/>
        </w:rPr>
        <w:t>155人，其中工商管理学、马克思主义理论等学科优质生源比例显著提升。</w:t>
      </w:r>
    </w:p>
    <w:p>
      <w:pPr>
        <w:pStyle w:val="17"/>
        <w:keepNext w:val="0"/>
        <w:keepLines w:val="0"/>
        <w:pageBreakBefore w:val="0"/>
        <w:widowControl w:val="0"/>
        <w:kinsoku/>
        <w:wordWrap/>
        <w:overflowPunct/>
        <w:topLinePunct w:val="0"/>
        <w:autoSpaceDE/>
        <w:autoSpaceDN/>
        <w:bidi w:val="0"/>
        <w:adjustRightInd w:val="0"/>
        <w:snapToGrid w:val="0"/>
        <w:spacing w:line="560" w:lineRule="exact"/>
        <w:ind w:firstLine="640"/>
        <w:jc w:val="both"/>
        <w:textAlignment w:val="auto"/>
        <w:rPr>
          <w:rFonts w:ascii="仿宋_GB2312" w:hAnsi="仿宋_GB2312" w:eastAsia="仿宋_GB2312" w:cs="仿宋_GB2312"/>
          <w:b w:val="0"/>
          <w:bCs/>
          <w:color w:val="auto"/>
          <w:kern w:val="0"/>
          <w:sz w:val="32"/>
          <w:szCs w:val="32"/>
          <w:highlight w:val="none"/>
        </w:rPr>
      </w:pPr>
      <w:r>
        <w:rPr>
          <w:rFonts w:hint="eastAsia" w:ascii="仿宋_GB2312" w:hAnsi="仿宋_GB2312" w:eastAsia="仿宋_GB2312" w:cs="仿宋_GB2312"/>
          <w:b w:val="0"/>
          <w:bCs/>
          <w:color w:val="auto"/>
          <w:kern w:val="0"/>
          <w:sz w:val="32"/>
          <w:szCs w:val="32"/>
          <w:highlight w:val="none"/>
        </w:rPr>
        <w:t>（2）分类完善招生选拔机制，持续优化生源结构</w:t>
      </w:r>
    </w:p>
    <w:p>
      <w:pPr>
        <w:pStyle w:val="17"/>
        <w:keepNext w:val="0"/>
        <w:keepLines w:val="0"/>
        <w:pageBreakBefore w:val="0"/>
        <w:widowControl w:val="0"/>
        <w:kinsoku/>
        <w:wordWrap/>
        <w:overflowPunct/>
        <w:topLinePunct w:val="0"/>
        <w:autoSpaceDE/>
        <w:autoSpaceDN/>
        <w:bidi w:val="0"/>
        <w:adjustRightInd w:val="0"/>
        <w:snapToGrid w:val="0"/>
        <w:spacing w:line="560" w:lineRule="exact"/>
        <w:ind w:firstLine="640"/>
        <w:jc w:val="both"/>
        <w:textAlignment w:val="auto"/>
        <w:rPr>
          <w:rFonts w:hint="eastAsia" w:ascii="仿宋_GB2312" w:hAnsi="仿宋_GB2312" w:eastAsia="仿宋_GB2312" w:cs="仿宋_GB2312"/>
          <w:b w:val="0"/>
          <w:bCs/>
          <w:color w:val="auto"/>
          <w:kern w:val="0"/>
          <w:sz w:val="32"/>
          <w:szCs w:val="32"/>
          <w:highlight w:val="none"/>
        </w:rPr>
      </w:pPr>
      <w:r>
        <w:rPr>
          <w:rFonts w:hint="eastAsia" w:ascii="仿宋_GB2312" w:hAnsi="仿宋_GB2312" w:eastAsia="仿宋_GB2312" w:cs="仿宋_GB2312"/>
          <w:b w:val="0"/>
          <w:bCs/>
          <w:color w:val="auto"/>
          <w:kern w:val="0"/>
          <w:sz w:val="32"/>
          <w:szCs w:val="32"/>
          <w:highlight w:val="none"/>
        </w:rPr>
        <w:t>贯彻落实教育部关于加快推进学术型和专业型人才分类选拔的意见，优化硕士研究生招生复试方案，在专业学位研究生招生选拔中增加一定比例具有行业产业实践经验的专家参加复试（面试）专家组。以卓越工程师培养为牵引深化专业学位研究生教育改革，2024年专业学位招生中首次启动食品数字工程师、数据分析工程师、大数据管理工程师3个卓越工程师培养项目。持续优化《本硕博一体化人才培养计划本科生遴选方案》《硕博连读招生办法》，进一步提高直博生和硕博连读生招生比例，第二届本硕博一体化直博生招收20人。</w:t>
      </w:r>
    </w:p>
    <w:p>
      <w:pPr>
        <w:pStyle w:val="17"/>
        <w:keepNext w:val="0"/>
        <w:keepLines w:val="0"/>
        <w:pageBreakBefore w:val="0"/>
        <w:widowControl w:val="0"/>
        <w:kinsoku/>
        <w:wordWrap/>
        <w:overflowPunct/>
        <w:topLinePunct w:val="0"/>
        <w:autoSpaceDE/>
        <w:autoSpaceDN/>
        <w:bidi w:val="0"/>
        <w:adjustRightInd w:val="0"/>
        <w:snapToGrid w:val="0"/>
        <w:spacing w:line="560" w:lineRule="exact"/>
        <w:ind w:firstLine="640"/>
        <w:jc w:val="both"/>
        <w:textAlignment w:val="auto"/>
        <w:rPr>
          <w:rFonts w:ascii="仿宋_GB2312" w:hAnsi="仿宋_GB2312" w:eastAsia="仿宋_GB2312" w:cs="仿宋_GB2312"/>
          <w:b w:val="0"/>
          <w:bCs/>
          <w:color w:val="auto"/>
          <w:kern w:val="0"/>
          <w:sz w:val="32"/>
          <w:szCs w:val="32"/>
          <w:highlight w:val="none"/>
        </w:rPr>
      </w:pPr>
      <w:r>
        <w:rPr>
          <w:rFonts w:hint="eastAsia" w:ascii="仿宋_GB2312" w:hAnsi="仿宋_GB2312" w:eastAsia="仿宋_GB2312" w:cs="仿宋_GB2312"/>
          <w:b w:val="0"/>
          <w:bCs/>
          <w:color w:val="auto"/>
          <w:kern w:val="0"/>
          <w:sz w:val="32"/>
          <w:szCs w:val="32"/>
          <w:highlight w:val="none"/>
        </w:rPr>
        <w:t>（3）优化自命题工作全流程，以数字化赋能招生工作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hAnsi="楷体_GB2312" w:cs="楷体_GB2312"/>
          <w:sz w:val="32"/>
          <w:szCs w:val="32"/>
        </w:rPr>
      </w:pPr>
      <w:r>
        <w:rPr>
          <w:rFonts w:hint="eastAsia" w:ascii="仿宋_GB2312" w:hAnsi="仿宋_GB2312" w:eastAsia="仿宋_GB2312" w:cs="仿宋_GB2312"/>
          <w:b w:val="0"/>
          <w:bCs/>
          <w:color w:val="auto"/>
          <w:kern w:val="0"/>
          <w:sz w:val="32"/>
          <w:szCs w:val="32"/>
          <w:highlight w:val="none"/>
        </w:rPr>
        <w:t>优化自命题工作机制，增加分管院长审查试卷、近三年试卷查重等环节，确保自命题试卷命题、审卷、印刷、寄发、回收、整理及评阅各环节监管无漏洞、工作无差错。</w:t>
      </w:r>
      <w:r>
        <w:rPr>
          <w:rFonts w:hint="eastAsia" w:ascii="仿宋_GB2312" w:hAnsi="仿宋_GB2312" w:eastAsia="仿宋_GB2312" w:cs="仿宋_GB2312"/>
          <w:b w:val="0"/>
          <w:bCs/>
          <w:color w:val="auto"/>
          <w:kern w:val="0"/>
          <w:sz w:val="32"/>
          <w:szCs w:val="32"/>
          <w:highlight w:val="none"/>
          <w:lang w:val="en-US" w:eastAsia="zh-CN"/>
        </w:rPr>
        <w:t>探索</w:t>
      </w:r>
      <w:r>
        <w:rPr>
          <w:rFonts w:hint="eastAsia" w:ascii="仿宋_GB2312" w:hAnsi="仿宋_GB2312" w:eastAsia="仿宋_GB2312" w:cs="仿宋_GB2312"/>
          <w:color w:val="auto"/>
          <w:sz w:val="32"/>
          <w:szCs w:val="32"/>
          <w:highlight w:val="none"/>
        </w:rPr>
        <w:t>建立研究生招生考试自命题网上阅卷系统，采用扫描识别技术，记忆教师阅卷界面，精准搜索试卷，精准完成复核，实现阅卷全过程监测、数字化存档、成绩数据分析等，切实提高评卷效率和正确率，提升研究生考试命题质量，以数字化赋能招生管理工作。</w:t>
      </w:r>
    </w:p>
    <w:p>
      <w:pPr>
        <w:pStyle w:val="17"/>
        <w:spacing w:line="560" w:lineRule="exact"/>
        <w:ind w:firstLine="640"/>
        <w:jc w:val="both"/>
        <w:rPr>
          <w:rFonts w:hAnsi="楷体_GB2312" w:cs="楷体_GB2312"/>
          <w:sz w:val="32"/>
          <w:szCs w:val="32"/>
        </w:rPr>
      </w:pPr>
      <w:r>
        <w:rPr>
          <w:rFonts w:hint="eastAsia" w:hAnsi="楷体_GB2312" w:cs="楷体_GB2312"/>
          <w:sz w:val="32"/>
          <w:szCs w:val="32"/>
        </w:rPr>
        <w:t>3.国际生招生工作</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Times New Roman Regular" w:hAnsi="Times New Roman Regular" w:eastAsia="仿宋_GB2312" w:cs="Times New Roman Regular"/>
          <w:b w:val="0"/>
          <w:bCs w:val="0"/>
          <w:color w:val="auto"/>
          <w:sz w:val="32"/>
          <w:highlight w:val="none"/>
          <w:lang w:val="en-US" w:eastAsia="zh-CN"/>
        </w:rPr>
      </w:pPr>
      <w:r>
        <w:rPr>
          <w:rFonts w:hint="eastAsia" w:ascii="Times New Roman Regular" w:hAnsi="Times New Roman Regular" w:eastAsia="仿宋_GB2312" w:cs="Times New Roman Regular"/>
          <w:b w:val="0"/>
          <w:bCs w:val="0"/>
          <w:color w:val="auto"/>
          <w:sz w:val="32"/>
          <w:highlight w:val="none"/>
          <w:lang w:val="en-US" w:eastAsia="zh-CN"/>
        </w:rPr>
        <w:t>（1）擦亮优势专业</w:t>
      </w:r>
      <w:r>
        <w:rPr>
          <w:rFonts w:hint="eastAsia" w:ascii="Times New Roman Regular" w:hAnsi="Times New Roman Regular" w:eastAsia="仿宋_GB2312" w:cs="Times New Roman Regular"/>
          <w:b w:val="0"/>
          <w:bCs w:val="0"/>
          <w:i w:val="0"/>
          <w:iCs w:val="0"/>
          <w:caps w:val="0"/>
          <w:color w:val="auto"/>
          <w:spacing w:val="0"/>
          <w:sz w:val="32"/>
          <w:szCs w:val="24"/>
          <w:highlight w:val="none"/>
          <w:shd w:val="clear"/>
        </w:rPr>
        <w:t>招牌</w:t>
      </w:r>
      <w:r>
        <w:rPr>
          <w:rFonts w:hint="eastAsia" w:ascii="Times New Roman Regular" w:hAnsi="Times New Roman Regular" w:eastAsia="仿宋_GB2312" w:cs="Times New Roman Regular"/>
          <w:b w:val="0"/>
          <w:bCs w:val="0"/>
          <w:color w:val="auto"/>
          <w:sz w:val="32"/>
          <w:highlight w:val="none"/>
          <w:lang w:val="en-US" w:eastAsia="zh-CN"/>
        </w:rPr>
        <w:t>，持续扩大招生规模</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Regular" w:hAnsi="Times New Roman Regular" w:eastAsia="仿宋_GB2312" w:cs="Times New Roman Regular"/>
          <w:sz w:val="32"/>
          <w:highlight w:val="none"/>
          <w:lang w:val="en-US" w:eastAsia="zh-CN"/>
        </w:rPr>
      </w:pPr>
      <w:r>
        <w:rPr>
          <w:rFonts w:hint="eastAsia" w:ascii="Times New Roman Regular" w:hAnsi="Times New Roman Regular" w:eastAsia="仿宋_GB2312" w:cs="Times New Roman Regular"/>
          <w:sz w:val="32"/>
          <w:highlight w:val="none"/>
          <w:lang w:val="en-US" w:eastAsia="zh-CN"/>
        </w:rPr>
        <w:t>在国际生招生工作中，聚焦高水平大学国际化建设总体目标，深入调研国际教育市场需求和学科发展趋势，结合学校优势学科资源，确定工商管理、电子商务、物流管理、旅游管理、国际贸易等前沿且具有跨文化应用潜力的重点招生专业。组建由国内外知名学者、行业专家构成的专业建设团队，精心设计课程体系；引入国际先进的教学理念和方法，增加实践教学比重，打造品牌专业。2024年，</w:t>
      </w:r>
      <w:r>
        <w:rPr>
          <w:rFonts w:hint="eastAsia" w:ascii="仿宋_GB2312" w:hAnsi="仿宋_GB2312" w:eastAsia="仿宋_GB2312" w:cs="仿宋_GB2312"/>
          <w:b w:val="0"/>
          <w:bCs w:val="0"/>
          <w:sz w:val="32"/>
          <w:szCs w:val="32"/>
          <w:highlight w:val="none"/>
          <w:lang w:val="en-US" w:eastAsia="zh-CN"/>
        </w:rPr>
        <w:t>学历生招生人数较</w:t>
      </w:r>
      <w:r>
        <w:rPr>
          <w:rFonts w:hint="eastAsia" w:ascii="Times New Roman Regular" w:hAnsi="Times New Roman Regular" w:eastAsia="仿宋_GB2312" w:cs="Times New Roman Regular"/>
          <w:sz w:val="32"/>
          <w:highlight w:val="none"/>
          <w:lang w:val="en-US" w:eastAsia="zh-CN"/>
        </w:rPr>
        <w:t>2023</w:t>
      </w:r>
      <w:r>
        <w:rPr>
          <w:rFonts w:hint="eastAsia" w:ascii="仿宋_GB2312" w:hAnsi="仿宋_GB2312" w:eastAsia="仿宋_GB2312" w:cs="仿宋_GB2312"/>
          <w:b w:val="0"/>
          <w:bCs w:val="0"/>
          <w:sz w:val="32"/>
          <w:szCs w:val="32"/>
          <w:highlight w:val="none"/>
          <w:lang w:val="en-US" w:eastAsia="zh-CN"/>
        </w:rPr>
        <w:t>年增长</w:t>
      </w:r>
      <w:r>
        <w:rPr>
          <w:rFonts w:hint="eastAsia" w:ascii="Times New Roman Regular" w:hAnsi="Times New Roman Regular" w:eastAsia="仿宋_GB2312" w:cs="Times New Roman Regular"/>
          <w:sz w:val="32"/>
          <w:highlight w:val="none"/>
          <w:lang w:val="en-US" w:eastAsia="zh-CN"/>
        </w:rPr>
        <w:t>69%</w:t>
      </w:r>
      <w:r>
        <w:rPr>
          <w:rFonts w:hint="eastAsia" w:ascii="仿宋_GB2312" w:hAnsi="仿宋_GB2312" w:eastAsia="仿宋_GB2312" w:cs="仿宋_GB2312"/>
          <w:b w:val="0"/>
          <w:bCs w:val="0"/>
          <w:sz w:val="32"/>
          <w:szCs w:val="32"/>
          <w:highlight w:val="none"/>
          <w:lang w:val="en-US" w:eastAsia="zh-CN"/>
        </w:rPr>
        <w:t>，实现了学历生招生的大幅提升。</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Regular" w:hAnsi="Times New Roman Regular" w:eastAsia="仿宋_GB2312" w:cs="Times New Roman Regular"/>
          <w:b w:val="0"/>
          <w:bCs w:val="0"/>
          <w:color w:val="auto"/>
          <w:sz w:val="32"/>
          <w:highlight w:val="none"/>
          <w:lang w:val="en-US" w:eastAsia="zh-CN"/>
        </w:rPr>
      </w:pPr>
      <w:r>
        <w:rPr>
          <w:rFonts w:hint="eastAsia" w:ascii="Times New Roman Regular" w:hAnsi="Times New Roman Regular" w:eastAsia="仿宋_GB2312" w:cs="Times New Roman Regular"/>
          <w:b w:val="0"/>
          <w:bCs w:val="0"/>
          <w:color w:val="auto"/>
          <w:sz w:val="32"/>
          <w:highlight w:val="none"/>
          <w:lang w:val="en-US" w:eastAsia="zh-CN"/>
        </w:rPr>
        <w:t>（2）</w:t>
      </w:r>
      <w:r>
        <w:rPr>
          <w:rFonts w:hint="eastAsia" w:ascii="Times New Roman Regular" w:hAnsi="Times New Roman Regular" w:eastAsia="仿宋_GB2312" w:cs="Times New Roman Regular"/>
          <w:b w:val="0"/>
          <w:bCs w:val="0"/>
          <w:i w:val="0"/>
          <w:iCs w:val="0"/>
          <w:caps w:val="0"/>
          <w:color w:val="auto"/>
          <w:spacing w:val="0"/>
          <w:sz w:val="32"/>
          <w:szCs w:val="24"/>
          <w:highlight w:val="none"/>
          <w:shd w:val="clear"/>
          <w:lang w:val="en-US" w:eastAsia="zh-CN"/>
        </w:rPr>
        <w:t>拓展</w:t>
      </w:r>
      <w:r>
        <w:rPr>
          <w:rStyle w:val="11"/>
          <w:rFonts w:hint="eastAsia" w:ascii="Times New Roman Regular" w:hAnsi="Times New Roman Regular" w:eastAsia="仿宋_GB2312" w:cs="Times New Roman Regular"/>
          <w:b w:val="0"/>
          <w:bCs w:val="0"/>
          <w:i w:val="0"/>
          <w:iCs w:val="0"/>
          <w:caps w:val="0"/>
          <w:spacing w:val="0"/>
          <w:sz w:val="32"/>
          <w:szCs w:val="24"/>
          <w:highlight w:val="none"/>
          <w:shd w:val="clear" w:fill="FFFFFF"/>
        </w:rPr>
        <w:t>多元宣传</w:t>
      </w:r>
      <w:r>
        <w:rPr>
          <w:rFonts w:hint="eastAsia" w:ascii="Times New Roman Regular" w:hAnsi="Times New Roman Regular" w:eastAsia="仿宋_GB2312" w:cs="Times New Roman Regular"/>
          <w:b w:val="0"/>
          <w:bCs w:val="0"/>
          <w:i w:val="0"/>
          <w:iCs w:val="0"/>
          <w:caps w:val="0"/>
          <w:color w:val="auto"/>
          <w:spacing w:val="0"/>
          <w:sz w:val="32"/>
          <w:szCs w:val="24"/>
          <w:highlight w:val="none"/>
          <w:shd w:val="clear"/>
          <w:lang w:val="en-US" w:eastAsia="zh-CN"/>
        </w:rPr>
        <w:t>路径</w:t>
      </w:r>
      <w:r>
        <w:rPr>
          <w:rFonts w:hint="eastAsia" w:ascii="Times New Roman Regular" w:hAnsi="Times New Roman Regular" w:eastAsia="仿宋_GB2312" w:cs="Times New Roman Regular"/>
          <w:b w:val="0"/>
          <w:bCs w:val="0"/>
          <w:color w:val="auto"/>
          <w:sz w:val="32"/>
          <w:highlight w:val="none"/>
          <w:lang w:val="en-US" w:eastAsia="zh-CN"/>
        </w:rPr>
        <w:t>，汇聚优质国际生源</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楷体_GB2312" w:eastAsia="仿宋_GB2312" w:cs="楷体_GB2312"/>
          <w:b w:val="0"/>
          <w:bCs/>
          <w:color w:val="auto"/>
          <w:sz w:val="32"/>
          <w:lang w:val="en-US" w:eastAsia="zh-CN"/>
        </w:rPr>
      </w:pPr>
      <w:r>
        <w:rPr>
          <w:rFonts w:hint="eastAsia" w:ascii="仿宋_GB2312" w:hAnsi="仿宋_GB2312" w:eastAsia="仿宋_GB2312" w:cs="仿宋_GB2312"/>
          <w:sz w:val="32"/>
          <w:szCs w:val="32"/>
          <w:highlight w:val="none"/>
          <w:lang w:val="en-US" w:eastAsia="zh-CN"/>
        </w:rPr>
        <w:t>高度重视国际学生招生宣传，从响应国家“一带一路”倡议和服务学校高水平大学建设出发，进一步加强在“一带一路”沿线国家和地区的宣传力度和招生合作。参加</w:t>
      </w:r>
      <w:r>
        <w:rPr>
          <w:rFonts w:hint="eastAsia" w:ascii="仿宋_GB2312" w:hAnsi="仿宋_GB2312" w:eastAsia="仿宋_GB2312" w:cs="仿宋_GB2312"/>
          <w:b w:val="0"/>
          <w:bCs w:val="0"/>
          <w:sz w:val="32"/>
          <w:szCs w:val="32"/>
          <w:highlight w:val="none"/>
          <w:lang w:val="en-US" w:eastAsia="zh-CN"/>
        </w:rPr>
        <w:t>阿联酋、俄罗斯国际教育展，马来西亚、印度尼西亚来华留学境外教育展，第25届中国国际教育年会，留学中国预科教育联盟暨“一带一路”人才培养校企联盟年会，以及印度尼西亚来华留学教育线上宣讲会，</w:t>
      </w:r>
      <w:r>
        <w:rPr>
          <w:rFonts w:hint="eastAsia" w:ascii="仿宋_GB2312" w:hAnsi="仿宋_GB2312" w:eastAsia="仿宋_GB2312" w:cs="仿宋_GB2312"/>
          <w:sz w:val="32"/>
          <w:szCs w:val="32"/>
          <w:highlight w:val="none"/>
          <w:lang w:val="en-US" w:eastAsia="zh-CN"/>
        </w:rPr>
        <w:t>提高了我校的海内外知名度、拓展了俄罗斯和东南亚的优质生源圈。为进一步提升美国、欧洲等发达国家学生来华交流规模，借助中国教育国际交流协会YES项目平台及官方网站加大宣传力度，全方位凸显“选商大，赢未来”品牌。</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（3）开展“国际暑校”项目，</w:t>
      </w:r>
      <w:r>
        <w:rPr>
          <w:rFonts w:hint="eastAsia" w:ascii="仿宋_GB2312" w:hAnsi="仿宋_GB2312" w:eastAsia="仿宋_GB2312" w:cs="仿宋_GB2312"/>
          <w:i w:val="0"/>
          <w:iCs w:val="0"/>
          <w:caps w:val="0"/>
          <w:spacing w:val="0"/>
          <w:sz w:val="32"/>
          <w:szCs w:val="32"/>
          <w:highlight w:val="none"/>
          <w:shd w:val="clear" w:fill="FFFFFF"/>
        </w:rPr>
        <w:t>铸强</w:t>
      </w:r>
      <w:r>
        <w:rPr>
          <w:rFonts w:hint="eastAsia" w:ascii="仿宋_GB2312" w:hAnsi="仿宋_GB2312" w:eastAsia="仿宋_GB2312" w:cs="仿宋_GB2312"/>
          <w:b w:val="0"/>
          <w:bCs w:val="0"/>
          <w:color w:val="auto"/>
          <w:sz w:val="32"/>
          <w:szCs w:val="32"/>
          <w:highlight w:val="none"/>
          <w:lang w:val="en-US" w:eastAsia="zh-CN"/>
        </w:rPr>
        <w:t>“留学商大”品牌</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sz w:val="32"/>
          <w:szCs w:val="32"/>
          <w:highlight w:val="none"/>
          <w:lang w:val="en-US" w:eastAsia="zh-Hans"/>
        </w:rPr>
        <w:t>为吸引世界各国优秀青年来华参加短期科研学习交流活动，</w:t>
      </w:r>
      <w:r>
        <w:rPr>
          <w:rFonts w:hint="eastAsia" w:ascii="仿宋_GB2312" w:hAnsi="仿宋_GB2312" w:eastAsia="仿宋_GB2312" w:cs="仿宋_GB2312"/>
          <w:sz w:val="32"/>
          <w:szCs w:val="32"/>
          <w:highlight w:val="none"/>
          <w:lang w:val="en-US" w:eastAsia="zh-CN"/>
        </w:rPr>
        <w:t>我校积极</w:t>
      </w:r>
      <w:r>
        <w:rPr>
          <w:rFonts w:hint="eastAsia" w:ascii="仿宋_GB2312" w:hAnsi="仿宋_GB2312" w:eastAsia="仿宋_GB2312" w:cs="仿宋_GB2312"/>
          <w:sz w:val="32"/>
          <w:szCs w:val="32"/>
          <w:highlight w:val="none"/>
          <w:lang w:val="en-US" w:eastAsia="zh-Hans"/>
        </w:rPr>
        <w:t>开展“留学中国·国际暑期学校”项目</w:t>
      </w:r>
      <w:r>
        <w:rPr>
          <w:rFonts w:hint="eastAsia" w:ascii="仿宋_GB2312" w:hAnsi="仿宋_GB2312" w:eastAsia="仿宋_GB2312" w:cs="仿宋_GB2312"/>
          <w:sz w:val="32"/>
          <w:szCs w:val="32"/>
          <w:highlight w:val="none"/>
          <w:lang w:val="en-US" w:eastAsia="zh-CN"/>
        </w:rPr>
        <w:t>。通过宣传与推广，形成多维度宣传矩阵，今年国际暑校的学生来自英国、比利时、德国、意大利、俄罗斯、阿尔及利亚、印度尼西亚、泰国、老挝等多个国家，为进一步扩大我校在发达国家、中等发达国家及“一带一路”沿线国家的招生奠定了基础。学校通过暑期学校不同项目的精准定位，提升了国际化程度和学术氛围，推进了项目的有效实施，促进了我校与相关海外院校的合作，很多学员表示日后愿意来校继续深造。</w:t>
      </w:r>
    </w:p>
    <w:p>
      <w:pPr>
        <w:pStyle w:val="17"/>
        <w:numPr>
          <w:ilvl w:val="0"/>
          <w:numId w:val="0"/>
        </w:numPr>
        <w:spacing w:line="560" w:lineRule="exact"/>
        <w:ind w:firstLine="643" w:firstLineChars="200"/>
        <w:jc w:val="both"/>
        <w:rPr>
          <w:rFonts w:hAnsi="楷体_GB2312" w:cs="楷体_GB2312"/>
          <w:sz w:val="32"/>
          <w:szCs w:val="32"/>
        </w:rPr>
      </w:pPr>
      <w:r>
        <w:rPr>
          <w:rFonts w:hint="eastAsia" w:ascii="楷体_GB2312" w:hAnsi="楷体_GB2312" w:eastAsia="楷体_GB2312" w:cs="楷体_GB2312"/>
          <w:b/>
          <w:kern w:val="2"/>
          <w:sz w:val="32"/>
          <w:szCs w:val="32"/>
          <w:lang w:val="en-US" w:eastAsia="zh-CN" w:bidi="ar-SA"/>
        </w:rPr>
        <w:t>（二）</w:t>
      </w:r>
      <w:r>
        <w:rPr>
          <w:rFonts w:hint="eastAsia" w:hAnsi="楷体_GB2312" w:cs="楷体_GB2312"/>
          <w:sz w:val="32"/>
          <w:szCs w:val="32"/>
        </w:rPr>
        <w:t>就业工作</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1.强化责任，优化协同，完善校院联动的工作机制</w:t>
      </w:r>
    </w:p>
    <w:p>
      <w:pPr>
        <w:tabs>
          <w:tab w:val="left" w:pos="1440"/>
          <w:tab w:val="center" w:pos="7076"/>
        </w:tabs>
        <w:spacing w:line="560" w:lineRule="exact"/>
        <w:ind w:firstLine="640" w:firstLineChars="200"/>
        <w:jc w:val="both"/>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贯彻落实毕业生就业工作“一把手工程”。学校进一步提高政治站位，充分认识就业工作的重要性、紧迫性，贯彻落实“一把手”工程，不断增强做好毕业生就业工作的责任感、使命感和紧迫感。实施就业工作目标责任制和工作保障机制，形成“领导主抓、处室统筹、院系为主、全员参与”的就业工作机制，工作实效性不断增强。针对2024届毕业生就业工作，召开全校就业工作推进会，围绕毕业生就业、毕业生跟踪调查、就业工作总结交流等议题，动员、部署、推进、落实就业工作，解决就业工作中的实际困难。实施“每周一次就业通报、每月一次就业工作交流、每学期一次就业调研”的动态管理制度，实时跟踪监测毕业生就业状况。出台《毕业生就业工作先进集体、先进个人评选办法（试行)的通知》，强化目标导向和过程管理。</w:t>
      </w:r>
    </w:p>
    <w:p>
      <w:pPr>
        <w:tabs>
          <w:tab w:val="left" w:pos="1440"/>
          <w:tab w:val="center" w:pos="7076"/>
        </w:tabs>
        <w:spacing w:line="560" w:lineRule="exact"/>
        <w:ind w:firstLine="640" w:firstLineChars="200"/>
        <w:jc w:val="both"/>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优化协同推进毕业生就业的工作机制。凝聚全员合力，持续推进就业工作的多部门联动。就业过程中，校友办、学生处、教务处、计财处、保卫处、团委、后勤服务中心等部门与招就处密切配合，发挥自身优势，提供优质服务，积极为毕业生就业创造良好条件。发挥朋辈促就业品牌优势，加强“就业领跑员”队伍建设，在2024届毕业生中推选161名已就业学生，为同学提供就业信息、就业内推、就业帮扶等就业引领活动。以产学研紧密结合为依托，以培养实践能力和创新能力为核心，2024年聘请校外导师22人，与36家企业结成战略合作伙伴，通过招聘、宣讲、讲座、指导等方式提供专业化指导，促进企业需求侧和教育供给侧要素全方位融合。</w:t>
      </w:r>
    </w:p>
    <w:p>
      <w:pPr>
        <w:tabs>
          <w:tab w:val="left" w:pos="1440"/>
          <w:tab w:val="center" w:pos="7076"/>
        </w:tabs>
        <w:spacing w:line="560" w:lineRule="exact"/>
        <w:ind w:firstLine="640" w:firstLineChars="200"/>
        <w:jc w:val="both"/>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引导毕业生服务国家战略与地方发展。不断强化学生的理想信念教育和思想价值引领，激发学生的报国志向、学术志趣，以国家战略需求为导向，以服务地方经济建设为主线，主动对接“一带一路”建设，积极主办“一带一路”2024年冬季线上联合双选会；与海南省、江西省、苏州市、湖州市、龙游县等多地组织部、人社局开展人才招引工作。以加强择业价值观教育为核心，通过政策宣讲、典型宣传、校友风采展示等多种方式，引导毕业生将个人职业发展与服务国家和社会需求紧密结合，与新时代同向同行。进一步完善基层项目的长效机制，做好基层就业项目的宣传发动、遴选推荐、后续服务等工作。2024年继续挖掘宣传就业创业先进典型，发挥榜样示范引领作用，推选58名“红船领航 奋斗青春”就业典型人物案例。2024届毕业生中，49人考取浙江省县乡机关选调生，35人参加国家、地方基层项目，2人应征义务兵。选拔33名在校生挂职白杨街道社区书记助理，奔赴社区一线参与基层治理。</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2.整合资源，专业指导，激发主动就业的内生动力</w:t>
      </w:r>
    </w:p>
    <w:p>
      <w:pPr>
        <w:tabs>
          <w:tab w:val="left" w:pos="1440"/>
          <w:tab w:val="center" w:pos="7076"/>
        </w:tabs>
        <w:spacing w:line="560" w:lineRule="exact"/>
        <w:ind w:firstLine="640" w:firstLineChars="200"/>
        <w:jc w:val="both"/>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构建多层次的生涯教育体系。经过多年实践，学校形成以课程建设为基础，以师资队伍建设为依托，以实践活动为抓手的生涯教育体系。打造校院两级联动、学生和校友互动、课堂教学与实习实践互促的多元教育资源支持体系。完善全覆盖、分层次、有侧重的职业生涯规划和就业指导课程体系。基于院系专业特色，根据不同年级、不同学生群体特点，开展梯次化、模块化、精细化的课程教授、团体辅导和个体咨询，形成了课程、咨询、辅导、赛事“四位一体”的生涯指导网络。2024年举办各类生涯活动310余场，覆盖22000 余人次，举办第十八届“彩虹杯”大学生职业规划大赛，共计9378人参赛。</w:t>
      </w:r>
    </w:p>
    <w:p>
      <w:pPr>
        <w:tabs>
          <w:tab w:val="left" w:pos="1440"/>
          <w:tab w:val="center" w:pos="7076"/>
        </w:tabs>
        <w:spacing w:line="560" w:lineRule="exact"/>
        <w:ind w:firstLine="640" w:firstLineChars="200"/>
        <w:jc w:val="both"/>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培育专业化的指导师资队伍。学校坚持教师队伍的专业化建设，严格执行新任教师准入制度、听课制度、集体备课制度、期末考评制度，持续推进生涯规划与就业指导教师提升计划。通过开展集体备课、课题研究、师资培训、工作研讨和业务交流，不断提高师资队伍的专业化水平和指导能力。按照梯次递进的方式开展师资培训，实现教师队伍的专家化、职业化。引导教师将课程设计与学科专业、行业动态发展、综合素质提升等内容相融合，实现对学生的精准指导。2024年我校职业规划与就业指导专兼职教师队伍52人，全年共开展师资培训 21人次，为进一步提高我校生涯规划与就业指导课程教学水平筑牢坚实基础。</w:t>
      </w:r>
    </w:p>
    <w:p>
      <w:pPr>
        <w:tabs>
          <w:tab w:val="left" w:pos="1440"/>
          <w:tab w:val="center" w:pos="7076"/>
        </w:tabs>
        <w:spacing w:line="560" w:lineRule="exact"/>
        <w:ind w:firstLine="640" w:firstLineChars="200"/>
        <w:jc w:val="both"/>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打造品牌化的生涯实践活动。根据不同年级、不同专业的发展特点和需求，开展形式多样的职业生涯实践活动，打造生涯活动品牌，提升学生职场适应力。2024年继续开展“职面未来”就业服务集结号系列活动，累计开展“简历面试工作坊”、“职来职往”实习精英挑战赛等活动310余场次。组织“浙江名企行”职场体验系列活动，组织走访双枪科技、斐乐服饰等20余家单位。举办“职引未来 筑梦商大”大学生生涯嘉年华活动，吸引1600余人次参加。有针对性地开展“公务员之路”“留学沙龙”“考研工作坊”等各类活动50多场次，参与学生1400余人次，为学生提供多样的职业成长路径。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3.多方联动，创新手段，探索战略导向的就业市场</w:t>
      </w:r>
    </w:p>
    <w:p>
      <w:pPr>
        <w:tabs>
          <w:tab w:val="left" w:pos="1440"/>
          <w:tab w:val="center" w:pos="7076"/>
        </w:tabs>
        <w:spacing w:line="560" w:lineRule="exact"/>
        <w:ind w:firstLine="640" w:firstLineChars="200"/>
        <w:jc w:val="both"/>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拓展高质量就业市场。积极适应国家经济结构转型和人才供需变化，以人才输送为契机，横向拓宽与各地政府的联系、纵向延伸与各大行业优质企业的合作，搭建高质量的双向赋能平台。2024年，学校承办浙江省数字经济类专场招聘，与海南省、江西省、湖州市等地签订人才工作合作协议；邀请重点行业优质用人单位来校招聘，邀请苏州、嘉兴、绍兴、湖州等地市区到校组团招聘；主动推荐毕业生，组织学生参加杭州各区、互联网大会等人才对接会；积极发掘校友资源，举办校友企业专场招聘会，邀请校友企业参加各类就业活动。</w:t>
      </w:r>
    </w:p>
    <w:p>
      <w:pPr>
        <w:tabs>
          <w:tab w:val="left" w:pos="1440"/>
          <w:tab w:val="center" w:pos="7076"/>
        </w:tabs>
        <w:spacing w:line="560" w:lineRule="exact"/>
        <w:ind w:firstLine="640" w:firstLineChars="200"/>
        <w:jc w:val="both"/>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推进院校两级招聘市场。学校积极开拓毕业生就业市场，多措并举探索市场开拓新方式，进一步推动、完善学校与学院两级市场开发渠道，形成“大型双选会”“组团招聘会”“专场招聘会”“学院招聘会”相结合的院校两级招聘模式。各学院发挥专业优势，加强与行业、企业合作，组织行业、专业招聘会。2024年全校组织各类线下招聘会42场，组织宣讲会300多场，全年到校招聘企业2600多家，累计提供岗位超过13万个。</w:t>
      </w:r>
    </w:p>
    <w:p>
      <w:pPr>
        <w:tabs>
          <w:tab w:val="left" w:pos="1440"/>
          <w:tab w:val="center" w:pos="7076"/>
        </w:tabs>
        <w:spacing w:line="560" w:lineRule="exact"/>
        <w:ind w:firstLine="640" w:firstLineChars="200"/>
        <w:jc w:val="both"/>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丰富多元网上就业市场。依托智慧就业网，实现招聘服务、就业管理的自助化，形成学校、用人单位和学生的网络对接，提高就业服务与管理工作效率。截至2024年12月底，系统注册企业累计达11652家，新增702家，累计发布招聘信息3000余条，提供就业岗位14余万个。构建由校园就业网、就业微信平台、就业工作QQ群、各学院毕业生就业群、手机短信平台等组成的多渠道、广覆盖的信息发布网络。</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4.规范管理，深化服务，提升高效精准的服务水平</w:t>
      </w:r>
    </w:p>
    <w:p>
      <w:pPr>
        <w:tabs>
          <w:tab w:val="left" w:pos="1440"/>
          <w:tab w:val="center" w:pos="7076"/>
        </w:tabs>
        <w:spacing w:line="560" w:lineRule="exact"/>
        <w:ind w:firstLine="640" w:firstLineChars="200"/>
        <w:jc w:val="both"/>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深度强化就业指导。实施个性化生涯咨询与辅导计划，兼顾广度和深度，用心用情做好就业指导。面对新形势，以多种方式帮助学生挖掘自身优势，积极应对职业选择和求职过程中的困惑和难题，助力每一位学生成长成才。继续推进精准化深度对接，为每一位有需求的同学提供“三个一”就业指导活动，即修改一次简历，推荐一次匹配度较高的职位，开展一次“模拟面试”“求职训练营”和“职业生涯工作坊”等。建设职业生涯咨询特色工作室，搭建网上咨询平台，每月安排16名校内外导师为学生提供线上线下指导服务。在招聘会现场邀请校内外专家、企业导师、朋辈导师为求职学生提供指导。引入职业测评工具，帮助学生更好地了解自身职业兴趣。</w:t>
      </w:r>
    </w:p>
    <w:p>
      <w:pPr>
        <w:tabs>
          <w:tab w:val="left" w:pos="1440"/>
          <w:tab w:val="center" w:pos="7076"/>
        </w:tabs>
        <w:spacing w:line="560" w:lineRule="exact"/>
        <w:ind w:firstLine="640" w:firstLineChars="200"/>
        <w:jc w:val="both"/>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提升就业服务体验。不断探索创新就业工作方式，充分利用数字化手段，打造就业一体化数字服务平台，推动就业服务提质增效。专业、地域、求职意向等指标，实现就业信息的精准推送和学生个性化定制；学校定期进行毕业生生源上报、就业方案填报、档案寄送等业务培训，提升就业工作人员的胜任力；全面摸清经济困难、就业困难、自主创业等群体的情况，进行分类指导；实时跟踪离校未就业毕业生的求职动态，提供岗位推荐、政策宣传等服务；充分利用学校就业网、微信、QQ等信息化手段，提供职业发展、就业信息、就业指导、政策解读、在线咨询等服务。</w:t>
      </w:r>
    </w:p>
    <w:p>
      <w:pPr>
        <w:tabs>
          <w:tab w:val="left" w:pos="1440"/>
          <w:tab w:val="center" w:pos="7076"/>
        </w:tabs>
        <w:spacing w:line="560" w:lineRule="exact"/>
        <w:ind w:firstLine="640" w:firstLineChars="200"/>
        <w:jc w:val="both"/>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助力特殊群体就业。学校秉持“全面摸排、重点关注、专业指导、精细服务”的工作理念，坚持以学生成长为中心，“一生一档”“一生一策”，既解决思想问题，也解决实际问题，对学业困难、家庭经济困难、就业焦虑的毕业生精准施策。建立就业困难毕业生档案，调动和发挥辅导员、班主任、专业教师、导师、校友等资源在毕业生就业关怀中的积极作用。2024年，开展“阳光学子，浙商大助你上职场”就业推荐活动，推荐21名重点毕业生100%就业；组织19名毕业生参加宏志助航计划就业能力培训；为387名家庭困难毕业生办理求职创业补贴，共计发放补贴116.1万元。对未就业的同学落实主动联系一次，提供辅导一次，向用人单位推荐一次的要求，有效促进毕业生重点群体的就业。</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 创新育人思路，落实人才培养实效</w:t>
      </w:r>
    </w:p>
    <w:p>
      <w:pPr>
        <w:tabs>
          <w:tab w:val="left" w:pos="1440"/>
          <w:tab w:val="center" w:pos="7076"/>
        </w:tabs>
        <w:spacing w:line="560" w:lineRule="exact"/>
        <w:ind w:firstLine="640" w:firstLineChars="200"/>
        <w:jc w:val="both"/>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加强与属地公安机关、出入境等部门的沟通协作，2024年5月，成功组织了第二届“浙江工商大学来华留学生实习与就业招聘会”，为企业输送了众多优秀国际人才，有力推动了中资企业海外发展战略布局。通过为留学生提供更加优质丰富的实习实践机会，持续做大国际化人才“蓄水池”；通过加强校企协同，构建校企命运共同体，助力“走出去”企业在全球的业务发展，形成“引企入校，助企出圈”的良性生态。</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pStyle w:val="2"/>
        <w:keepNext/>
        <w:keepLines/>
        <w:pageBreakBefore w:val="0"/>
        <w:widowControl w:val="0"/>
        <w:kinsoku/>
        <w:wordWrap/>
        <w:overflowPunct/>
        <w:topLinePunct w:val="0"/>
        <w:autoSpaceDE/>
        <w:autoSpaceDN/>
        <w:bidi w:val="0"/>
        <w:adjustRightInd/>
        <w:snapToGrid w:val="0"/>
        <w:spacing w:before="0" w:after="0" w:afterLines="0" w:line="560" w:lineRule="exact"/>
        <w:ind w:firstLine="0"/>
        <w:textAlignment w:val="auto"/>
        <w:rPr>
          <w:rStyle w:val="19"/>
          <w:rFonts w:hint="eastAsia" w:ascii="方正小标宋简体" w:hAnsi="方正小标宋简体" w:eastAsia="方正小标宋简体" w:cs="方正小标宋简体"/>
          <w:b/>
          <w:bCs/>
          <w:sz w:val="44"/>
          <w:szCs w:val="44"/>
          <w:highlight w:val="none"/>
        </w:rPr>
      </w:pPr>
      <w:bookmarkStart w:id="7" w:name="_Toc166238692"/>
      <w:r>
        <w:rPr>
          <w:rStyle w:val="19"/>
          <w:rFonts w:hint="eastAsia" w:ascii="方正小标宋简体" w:hAnsi="方正小标宋简体" w:eastAsia="方正小标宋简体" w:cs="方正小标宋简体"/>
          <w:b/>
          <w:bCs/>
          <w:sz w:val="44"/>
          <w:szCs w:val="44"/>
          <w:highlight w:val="none"/>
        </w:rPr>
        <w:t>202</w:t>
      </w:r>
      <w:r>
        <w:rPr>
          <w:rStyle w:val="19"/>
          <w:rFonts w:hint="eastAsia" w:ascii="方正小标宋简体" w:hAnsi="方正小标宋简体" w:cs="方正小标宋简体"/>
          <w:b/>
          <w:bCs/>
          <w:sz w:val="44"/>
          <w:szCs w:val="44"/>
          <w:highlight w:val="none"/>
          <w:lang w:val="en-US" w:eastAsia="zh-CN"/>
        </w:rPr>
        <w:t>4</w:t>
      </w:r>
      <w:r>
        <w:rPr>
          <w:rStyle w:val="19"/>
          <w:rFonts w:hint="eastAsia" w:ascii="方正小标宋简体" w:hAnsi="方正小标宋简体" w:eastAsia="方正小标宋简体" w:cs="方正小标宋简体"/>
          <w:b/>
          <w:bCs/>
          <w:sz w:val="44"/>
          <w:szCs w:val="44"/>
          <w:highlight w:val="none"/>
        </w:rPr>
        <w:t>年继续教育学生招生工作情况公开报告</w:t>
      </w:r>
      <w:bookmarkEnd w:id="7"/>
    </w:p>
    <w:p>
      <w:pPr>
        <w:rPr>
          <w:rFonts w:hint="eastAsia"/>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firstLine="640" w:firstLineChars="200"/>
        <w:jc w:val="both"/>
        <w:textAlignment w:val="auto"/>
        <w:rPr>
          <w:rFonts w:ascii="黑体" w:hAnsi="黑体" w:eastAsia="黑体" w:cs="黑体"/>
          <w:bCs/>
          <w:sz w:val="32"/>
          <w:szCs w:val="32"/>
        </w:rPr>
      </w:pPr>
      <w:r>
        <w:rPr>
          <w:rFonts w:hint="eastAsia" w:ascii="黑体" w:hAnsi="黑体" w:eastAsia="黑体" w:cs="黑体"/>
          <w:bCs/>
          <w:sz w:val="32"/>
          <w:szCs w:val="32"/>
        </w:rPr>
        <w:t>一、高等学历继续教育</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firstLine="640" w:firstLineChars="200"/>
        <w:jc w:val="both"/>
        <w:textAlignment w:val="auto"/>
        <w:rPr>
          <w:rFonts w:ascii="仿宋_GB2312" w:hAnsi="楷体" w:eastAsia="仿宋_GB2312" w:cs="楷体"/>
          <w:bCs/>
          <w:sz w:val="32"/>
          <w:szCs w:val="32"/>
        </w:rPr>
      </w:pPr>
      <w:r>
        <w:rPr>
          <w:rFonts w:hint="eastAsia" w:ascii="仿宋_GB2312" w:hAnsi="楷体" w:eastAsia="仿宋_GB2312" w:cs="楷体"/>
          <w:bCs/>
          <w:sz w:val="32"/>
          <w:szCs w:val="32"/>
        </w:rPr>
        <w:t>202</w:t>
      </w:r>
      <w:r>
        <w:rPr>
          <w:rFonts w:hint="eastAsia" w:ascii="仿宋_GB2312" w:hAnsi="楷体" w:eastAsia="仿宋_GB2312" w:cs="楷体"/>
          <w:bCs/>
          <w:sz w:val="32"/>
          <w:szCs w:val="32"/>
          <w:lang w:val="en-US" w:eastAsia="zh-CN"/>
        </w:rPr>
        <w:t>4</w:t>
      </w:r>
      <w:r>
        <w:rPr>
          <w:rFonts w:hint="eastAsia" w:ascii="仿宋_GB2312" w:hAnsi="楷体" w:eastAsia="仿宋_GB2312" w:cs="楷体"/>
          <w:bCs/>
          <w:sz w:val="32"/>
          <w:szCs w:val="32"/>
        </w:rPr>
        <w:t>年高等学历继续教育共设有17个专业和22个教学点（其中校内1个,省内各地市21个），有本科</w:t>
      </w:r>
      <w:r>
        <w:rPr>
          <w:rFonts w:hint="eastAsia" w:ascii="仿宋_GB2312" w:hAnsi="楷体" w:eastAsia="仿宋_GB2312" w:cs="楷体"/>
          <w:bCs/>
          <w:sz w:val="32"/>
          <w:szCs w:val="32"/>
          <w:lang w:val="en-US" w:eastAsia="zh-CN"/>
        </w:rPr>
        <w:t>在读</w:t>
      </w:r>
      <w:r>
        <w:rPr>
          <w:rFonts w:hint="eastAsia" w:ascii="仿宋_GB2312" w:hAnsi="楷体" w:eastAsia="仿宋_GB2312" w:cs="楷体"/>
          <w:bCs/>
          <w:sz w:val="32"/>
          <w:szCs w:val="32"/>
        </w:rPr>
        <w:t>学生28</w:t>
      </w:r>
      <w:r>
        <w:rPr>
          <w:rFonts w:hint="eastAsia" w:ascii="仿宋_GB2312" w:hAnsi="楷体" w:eastAsia="仿宋_GB2312" w:cs="楷体"/>
          <w:bCs/>
          <w:sz w:val="32"/>
          <w:szCs w:val="32"/>
          <w:lang w:val="en-US" w:eastAsia="zh-CN"/>
        </w:rPr>
        <w:t>474</w:t>
      </w:r>
      <w:r>
        <w:rPr>
          <w:rFonts w:hint="eastAsia" w:ascii="仿宋_GB2312" w:hAnsi="楷体" w:eastAsia="仿宋_GB2312" w:cs="楷体"/>
          <w:bCs/>
          <w:sz w:val="32"/>
          <w:szCs w:val="32"/>
        </w:rPr>
        <w:t>人</w:t>
      </w:r>
      <w:r>
        <w:rPr>
          <w:rFonts w:ascii="仿宋_GB2312" w:hAnsi="楷体" w:eastAsia="仿宋_GB2312" w:cs="楷体"/>
          <w:bCs/>
          <w:sz w:val="32"/>
          <w:szCs w:val="32"/>
        </w:rPr>
        <w:t>。</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firstLine="640" w:firstLineChars="200"/>
        <w:jc w:val="both"/>
        <w:textAlignment w:val="auto"/>
        <w:rPr>
          <w:rFonts w:ascii="仿宋_GB2312" w:hAnsi="楷体" w:eastAsia="仿宋_GB2312" w:cs="楷体"/>
          <w:bCs/>
          <w:sz w:val="32"/>
          <w:szCs w:val="32"/>
        </w:rPr>
      </w:pPr>
      <w:r>
        <w:rPr>
          <w:rFonts w:hint="eastAsia" w:ascii="仿宋_GB2312" w:hAnsi="楷体" w:eastAsia="仿宋_GB2312" w:cs="楷体"/>
          <w:bCs/>
          <w:sz w:val="32"/>
          <w:szCs w:val="32"/>
        </w:rPr>
        <w:t>学院连续多年保持成考报考人数全省第一，202</w:t>
      </w:r>
      <w:r>
        <w:rPr>
          <w:rFonts w:hint="eastAsia" w:ascii="仿宋_GB2312" w:hAnsi="楷体" w:eastAsia="仿宋_GB2312" w:cs="楷体"/>
          <w:bCs/>
          <w:sz w:val="32"/>
          <w:szCs w:val="32"/>
          <w:lang w:val="en-US" w:eastAsia="zh-CN"/>
        </w:rPr>
        <w:t>4</w:t>
      </w:r>
      <w:r>
        <w:rPr>
          <w:rFonts w:hint="eastAsia" w:ascii="仿宋_GB2312" w:hAnsi="楷体" w:eastAsia="仿宋_GB2312" w:cs="楷体"/>
          <w:bCs/>
          <w:sz w:val="32"/>
          <w:szCs w:val="32"/>
        </w:rPr>
        <w:t>年共录取专升本层次新生</w:t>
      </w:r>
      <w:r>
        <w:rPr>
          <w:rFonts w:hint="eastAsia" w:ascii="仿宋_GB2312" w:hAnsi="楷体" w:eastAsia="仿宋_GB2312" w:cs="楷体"/>
          <w:bCs/>
          <w:sz w:val="32"/>
          <w:szCs w:val="32"/>
          <w:lang w:val="en-US" w:eastAsia="zh-CN"/>
        </w:rPr>
        <w:t>8360</w:t>
      </w:r>
      <w:r>
        <w:rPr>
          <w:rFonts w:hint="eastAsia" w:ascii="仿宋_GB2312" w:hAnsi="楷体" w:eastAsia="仿宋_GB2312" w:cs="楷体"/>
          <w:bCs/>
          <w:sz w:val="32"/>
          <w:szCs w:val="32"/>
        </w:rPr>
        <w:t>人，录取分数线创新高，17个专业平均高出省线41分，法学专业高69分。202</w:t>
      </w:r>
      <w:r>
        <w:rPr>
          <w:rFonts w:hint="eastAsia" w:ascii="仿宋_GB2312" w:hAnsi="楷体" w:eastAsia="仿宋_GB2312" w:cs="楷体"/>
          <w:bCs/>
          <w:sz w:val="32"/>
          <w:szCs w:val="32"/>
          <w:lang w:val="en-US" w:eastAsia="zh-CN"/>
        </w:rPr>
        <w:t>4</w:t>
      </w:r>
      <w:r>
        <w:rPr>
          <w:rFonts w:hint="eastAsia" w:ascii="仿宋_GB2312" w:hAnsi="楷体" w:eastAsia="仿宋_GB2312" w:cs="楷体"/>
          <w:bCs/>
          <w:sz w:val="32"/>
          <w:szCs w:val="32"/>
        </w:rPr>
        <w:t>届毕业学生8335人，其中本科毕业生8328人，专科毕业生7人；本科毕业生中有3544人被授予了学士学位</w:t>
      </w:r>
      <w:r>
        <w:rPr>
          <w:rFonts w:ascii="仿宋_GB2312" w:hAnsi="楷体" w:eastAsia="仿宋_GB2312" w:cs="楷体"/>
          <w:bCs/>
          <w:sz w:val="32"/>
          <w:szCs w:val="32"/>
        </w:rPr>
        <w:t>。</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firstLine="640" w:firstLineChars="200"/>
        <w:jc w:val="both"/>
        <w:textAlignment w:val="auto"/>
        <w:rPr>
          <w:rFonts w:ascii="仿宋_GB2312" w:hAnsi="楷体" w:eastAsia="仿宋_GB2312" w:cs="楷体"/>
          <w:bCs/>
          <w:sz w:val="32"/>
          <w:szCs w:val="32"/>
        </w:rPr>
      </w:pPr>
      <w:r>
        <w:rPr>
          <w:rFonts w:hint="eastAsia" w:ascii="仿宋_GB2312" w:hAnsi="楷体" w:eastAsia="仿宋_GB2312" w:cs="楷体"/>
          <w:bCs/>
          <w:sz w:val="32"/>
          <w:szCs w:val="32"/>
        </w:rPr>
        <w:t>高等</w:t>
      </w:r>
      <w:r>
        <w:rPr>
          <w:rFonts w:ascii="仿宋_GB2312" w:hAnsi="楷体" w:eastAsia="仿宋_GB2312" w:cs="楷体"/>
          <w:bCs/>
          <w:sz w:val="32"/>
          <w:szCs w:val="32"/>
        </w:rPr>
        <w:t>学历</w:t>
      </w:r>
      <w:r>
        <w:rPr>
          <w:rFonts w:hint="eastAsia" w:ascii="仿宋_GB2312" w:hAnsi="楷体" w:eastAsia="仿宋_GB2312" w:cs="楷体"/>
          <w:bCs/>
          <w:sz w:val="32"/>
          <w:szCs w:val="32"/>
        </w:rPr>
        <w:t>继续教育</w:t>
      </w:r>
      <w:r>
        <w:rPr>
          <w:rFonts w:ascii="仿宋_GB2312" w:hAnsi="楷体" w:eastAsia="仿宋_GB2312" w:cs="楷体"/>
          <w:bCs/>
          <w:sz w:val="32"/>
          <w:szCs w:val="32"/>
        </w:rPr>
        <w:t>招生由继续教育学院根据社会发展需要</w:t>
      </w:r>
      <w:r>
        <w:rPr>
          <w:rFonts w:hint="eastAsia" w:ascii="仿宋_GB2312" w:hAnsi="楷体" w:eastAsia="仿宋_GB2312" w:cs="楷体"/>
          <w:bCs/>
          <w:sz w:val="32"/>
          <w:szCs w:val="32"/>
        </w:rPr>
        <w:t>，结合学校优势特色专业设置等情况，向省教育厅预报各专业招生计划；省</w:t>
      </w:r>
      <w:r>
        <w:rPr>
          <w:rFonts w:ascii="仿宋_GB2312" w:hAnsi="楷体" w:eastAsia="仿宋_GB2312" w:cs="楷体"/>
          <w:bCs/>
          <w:sz w:val="32"/>
          <w:szCs w:val="32"/>
        </w:rPr>
        <w:t>教育厅</w:t>
      </w:r>
      <w:r>
        <w:rPr>
          <w:rFonts w:hint="eastAsia" w:ascii="仿宋_GB2312" w:hAnsi="楷体" w:eastAsia="仿宋_GB2312" w:cs="楷体"/>
          <w:bCs/>
          <w:sz w:val="32"/>
          <w:szCs w:val="32"/>
        </w:rPr>
        <w:t>则根据考生报考及学校办学资源等情况下达</w:t>
      </w:r>
      <w:r>
        <w:rPr>
          <w:rFonts w:ascii="仿宋_GB2312" w:hAnsi="楷体" w:eastAsia="仿宋_GB2312" w:cs="楷体"/>
          <w:bCs/>
          <w:sz w:val="32"/>
          <w:szCs w:val="32"/>
        </w:rPr>
        <w:t>招生计划</w:t>
      </w:r>
      <w:r>
        <w:rPr>
          <w:rFonts w:hint="eastAsia" w:ascii="仿宋_GB2312" w:hAnsi="楷体" w:eastAsia="仿宋_GB2312" w:cs="楷体"/>
          <w:bCs/>
          <w:sz w:val="32"/>
          <w:szCs w:val="32"/>
        </w:rPr>
        <w:t>。学校高等学历继续教育的</w:t>
      </w:r>
      <w:r>
        <w:rPr>
          <w:rFonts w:ascii="仿宋_GB2312" w:hAnsi="楷体" w:eastAsia="仿宋_GB2312" w:cs="楷体"/>
          <w:bCs/>
          <w:sz w:val="32"/>
          <w:szCs w:val="32"/>
        </w:rPr>
        <w:t>招生简章</w:t>
      </w:r>
      <w:r>
        <w:rPr>
          <w:rFonts w:hint="eastAsia" w:ascii="仿宋_GB2312" w:hAnsi="楷体" w:eastAsia="仿宋_GB2312" w:cs="楷体"/>
          <w:bCs/>
          <w:sz w:val="32"/>
          <w:szCs w:val="32"/>
        </w:rPr>
        <w:t>、录取原则等</w:t>
      </w:r>
      <w:r>
        <w:rPr>
          <w:rFonts w:ascii="仿宋_GB2312" w:hAnsi="楷体" w:eastAsia="仿宋_GB2312" w:cs="楷体"/>
          <w:bCs/>
          <w:sz w:val="32"/>
          <w:szCs w:val="32"/>
        </w:rPr>
        <w:t>通过网站、</w:t>
      </w:r>
      <w:r>
        <w:rPr>
          <w:rFonts w:hint="eastAsia" w:ascii="仿宋_GB2312" w:hAnsi="楷体" w:eastAsia="仿宋_GB2312" w:cs="楷体"/>
          <w:bCs/>
          <w:sz w:val="32"/>
          <w:szCs w:val="32"/>
        </w:rPr>
        <w:t>校外教学</w:t>
      </w:r>
      <w:r>
        <w:rPr>
          <w:rFonts w:ascii="仿宋_GB2312" w:hAnsi="楷体" w:eastAsia="仿宋_GB2312" w:cs="楷体"/>
          <w:bCs/>
          <w:sz w:val="32"/>
          <w:szCs w:val="32"/>
        </w:rPr>
        <w:t>点、广告媒介等向社会</w:t>
      </w:r>
      <w:r>
        <w:rPr>
          <w:rFonts w:hint="eastAsia" w:ascii="仿宋_GB2312" w:hAnsi="楷体" w:eastAsia="仿宋_GB2312" w:cs="楷体"/>
          <w:bCs/>
          <w:sz w:val="32"/>
          <w:szCs w:val="32"/>
        </w:rPr>
        <w:t>公开；招生录取严格</w:t>
      </w:r>
      <w:r>
        <w:rPr>
          <w:rFonts w:ascii="仿宋_GB2312" w:hAnsi="楷体" w:eastAsia="仿宋_GB2312" w:cs="楷体"/>
          <w:bCs/>
          <w:sz w:val="32"/>
          <w:szCs w:val="32"/>
        </w:rPr>
        <w:t>按照省教育考试院的规定</w:t>
      </w:r>
      <w:r>
        <w:rPr>
          <w:rFonts w:hint="eastAsia" w:ascii="仿宋_GB2312" w:hAnsi="楷体" w:eastAsia="仿宋_GB2312" w:cs="楷体"/>
          <w:bCs/>
          <w:sz w:val="32"/>
          <w:szCs w:val="32"/>
        </w:rPr>
        <w:t>在</w:t>
      </w:r>
      <w:r>
        <w:rPr>
          <w:rFonts w:ascii="仿宋_GB2312" w:hAnsi="楷体" w:eastAsia="仿宋_GB2312" w:cs="楷体"/>
          <w:bCs/>
          <w:sz w:val="32"/>
          <w:szCs w:val="32"/>
        </w:rPr>
        <w:t>网上</w:t>
      </w:r>
      <w:r>
        <w:rPr>
          <w:rFonts w:hint="eastAsia" w:ascii="仿宋_GB2312" w:hAnsi="楷体" w:eastAsia="仿宋_GB2312" w:cs="楷体"/>
          <w:bCs/>
          <w:sz w:val="32"/>
          <w:szCs w:val="32"/>
        </w:rPr>
        <w:t>进行；录取结果</w:t>
      </w:r>
      <w:r>
        <w:rPr>
          <w:rFonts w:ascii="仿宋_GB2312" w:hAnsi="楷体" w:eastAsia="仿宋_GB2312" w:cs="楷体"/>
          <w:bCs/>
          <w:sz w:val="32"/>
          <w:szCs w:val="32"/>
        </w:rPr>
        <w:t>通过</w:t>
      </w:r>
      <w:r>
        <w:rPr>
          <w:rFonts w:hint="eastAsia" w:ascii="仿宋_GB2312" w:hAnsi="楷体" w:eastAsia="仿宋_GB2312" w:cs="楷体"/>
          <w:bCs/>
          <w:sz w:val="32"/>
          <w:szCs w:val="32"/>
        </w:rPr>
        <w:t>继续教育学院网站及有关社会媒体依法及时公布</w:t>
      </w:r>
      <w:r>
        <w:rPr>
          <w:rFonts w:ascii="仿宋_GB2312" w:hAnsi="楷体" w:eastAsia="仿宋_GB2312" w:cs="楷体"/>
          <w:bCs/>
          <w:sz w:val="32"/>
          <w:szCs w:val="32"/>
        </w:rPr>
        <w:t>。</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楷体" w:eastAsia="仿宋_GB2312" w:cs="楷体"/>
          <w:bCs/>
          <w:sz w:val="32"/>
          <w:szCs w:val="32"/>
        </w:rPr>
      </w:pPr>
      <w:r>
        <w:rPr>
          <w:rFonts w:hint="eastAsia" w:ascii="仿宋_GB2312" w:hAnsi="楷体" w:eastAsia="仿宋_GB2312" w:cs="楷体"/>
          <w:bCs/>
          <w:sz w:val="32"/>
          <w:szCs w:val="32"/>
        </w:rPr>
        <w:t>学校参加浙江省</w:t>
      </w:r>
      <w:r>
        <w:rPr>
          <w:rFonts w:hint="eastAsia" w:ascii="仿宋_GB2312" w:hAnsi="楷体" w:eastAsia="仿宋_GB2312" w:cs="楷体"/>
          <w:bCs/>
          <w:sz w:val="32"/>
          <w:szCs w:val="32"/>
          <w:lang w:eastAsia="zh-CN"/>
        </w:rPr>
        <w:t>、</w:t>
      </w:r>
      <w:r>
        <w:rPr>
          <w:rFonts w:hint="eastAsia" w:ascii="仿宋_GB2312" w:hAnsi="楷体" w:eastAsia="仿宋_GB2312" w:cs="楷体"/>
          <w:bCs/>
          <w:sz w:val="32"/>
          <w:szCs w:val="32"/>
        </w:rPr>
        <w:t>杭州市</w:t>
      </w:r>
      <w:r>
        <w:rPr>
          <w:rFonts w:hint="eastAsia" w:ascii="仿宋_GB2312" w:hAnsi="楷体" w:eastAsia="仿宋_GB2312" w:cs="楷体"/>
          <w:bCs/>
          <w:sz w:val="32"/>
          <w:szCs w:val="32"/>
          <w:lang w:val="en-US" w:eastAsia="zh-CN"/>
        </w:rPr>
        <w:t>和西湖区</w:t>
      </w:r>
      <w:r>
        <w:rPr>
          <w:rFonts w:hint="eastAsia" w:ascii="仿宋_GB2312" w:hAnsi="楷体" w:eastAsia="仿宋_GB2312" w:cs="楷体"/>
          <w:bCs/>
          <w:sz w:val="32"/>
          <w:szCs w:val="32"/>
        </w:rPr>
        <w:t>总工会资助优秀外来务工</w:t>
      </w:r>
      <w:r>
        <w:rPr>
          <w:rFonts w:hint="eastAsia" w:ascii="仿宋_GB2312" w:hAnsi="楷体" w:eastAsia="仿宋_GB2312" w:cs="楷体"/>
          <w:bCs/>
          <w:sz w:val="32"/>
          <w:szCs w:val="32"/>
          <w:lang w:val="en-US" w:eastAsia="zh-CN"/>
        </w:rPr>
        <w:t>等特定人员</w:t>
      </w:r>
      <w:r>
        <w:rPr>
          <w:rFonts w:hint="eastAsia" w:ascii="仿宋_GB2312" w:hAnsi="楷体" w:eastAsia="仿宋_GB2312" w:cs="楷体"/>
          <w:bCs/>
          <w:sz w:val="32"/>
          <w:szCs w:val="32"/>
        </w:rPr>
        <w:t>上大学活动，为</w:t>
      </w:r>
      <w:r>
        <w:rPr>
          <w:rFonts w:hint="eastAsia" w:ascii="仿宋_GB2312" w:hAnsi="楷体" w:eastAsia="仿宋_GB2312" w:cs="楷体"/>
          <w:bCs/>
          <w:sz w:val="32"/>
          <w:szCs w:val="32"/>
          <w:lang w:val="en-US" w:eastAsia="zh-CN"/>
        </w:rPr>
        <w:t>其</w:t>
      </w:r>
      <w:r>
        <w:rPr>
          <w:rFonts w:hint="eastAsia" w:ascii="仿宋_GB2312" w:hAnsi="楷体" w:eastAsia="仿宋_GB2312" w:cs="楷体"/>
          <w:bCs/>
          <w:sz w:val="32"/>
          <w:szCs w:val="32"/>
        </w:rPr>
        <w:t>成长成才提供有效载体。</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firstLine="640" w:firstLineChars="200"/>
        <w:jc w:val="both"/>
        <w:textAlignment w:val="auto"/>
        <w:rPr>
          <w:rFonts w:ascii="黑体" w:hAnsi="黑体" w:eastAsia="黑体" w:cs="黑体"/>
          <w:bCs/>
          <w:color w:val="FF0000"/>
          <w:sz w:val="32"/>
          <w:szCs w:val="32"/>
        </w:rPr>
      </w:pPr>
      <w:r>
        <w:rPr>
          <w:rFonts w:hint="eastAsia" w:ascii="黑体" w:hAnsi="黑体" w:eastAsia="黑体" w:cs="黑体"/>
          <w:bCs/>
          <w:sz w:val="32"/>
          <w:szCs w:val="32"/>
        </w:rPr>
        <w:t>二、高等教育自学考试助学工作</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firstLine="640" w:firstLineChars="200"/>
        <w:jc w:val="both"/>
        <w:textAlignment w:val="auto"/>
        <w:rPr>
          <w:rFonts w:ascii="仿宋_GB2312" w:hAnsi="楷体" w:eastAsia="仿宋_GB2312" w:cs="楷体"/>
          <w:bCs/>
          <w:sz w:val="32"/>
          <w:szCs w:val="32"/>
        </w:rPr>
      </w:pPr>
      <w:r>
        <w:rPr>
          <w:rFonts w:hint="eastAsia" w:ascii="仿宋_GB2312" w:hAnsi="楷体" w:eastAsia="仿宋_GB2312" w:cs="楷体"/>
          <w:bCs/>
          <w:sz w:val="32"/>
          <w:szCs w:val="32"/>
        </w:rPr>
        <w:t>202</w:t>
      </w:r>
      <w:r>
        <w:rPr>
          <w:rFonts w:hint="eastAsia" w:ascii="仿宋_GB2312" w:hAnsi="楷体" w:eastAsia="仿宋_GB2312" w:cs="楷体"/>
          <w:bCs/>
          <w:sz w:val="32"/>
          <w:szCs w:val="32"/>
          <w:lang w:val="en-US" w:eastAsia="zh-CN"/>
        </w:rPr>
        <w:t>4</w:t>
      </w:r>
      <w:r>
        <w:rPr>
          <w:rFonts w:hint="eastAsia" w:ascii="仿宋_GB2312" w:hAnsi="楷体" w:eastAsia="仿宋_GB2312" w:cs="楷体"/>
          <w:bCs/>
          <w:sz w:val="32"/>
          <w:szCs w:val="32"/>
        </w:rPr>
        <w:t>年，共开设高等教育自学考试全日制和业余助学专业</w:t>
      </w:r>
      <w:r>
        <w:rPr>
          <w:rFonts w:hint="eastAsia" w:ascii="仿宋_GB2312" w:hAnsi="楷体" w:eastAsia="仿宋_GB2312" w:cs="楷体"/>
          <w:bCs/>
          <w:sz w:val="32"/>
          <w:szCs w:val="32"/>
          <w:lang w:val="en-US" w:eastAsia="zh-CN"/>
        </w:rPr>
        <w:t>4</w:t>
      </w:r>
      <w:r>
        <w:rPr>
          <w:rFonts w:hint="eastAsia" w:ascii="仿宋_GB2312" w:hAnsi="楷体" w:eastAsia="仿宋_GB2312" w:cs="楷体"/>
          <w:bCs/>
          <w:sz w:val="32"/>
          <w:szCs w:val="32"/>
        </w:rPr>
        <w:t>个，</w:t>
      </w:r>
      <w:r>
        <w:rPr>
          <w:rFonts w:hint="eastAsia" w:ascii="仿宋_GB2312" w:hAnsi="楷体" w:eastAsia="仿宋_GB2312" w:cs="楷体"/>
          <w:bCs/>
          <w:color w:val="auto"/>
          <w:sz w:val="32"/>
          <w:szCs w:val="32"/>
        </w:rPr>
        <w:t>招收新生</w:t>
      </w:r>
      <w:r>
        <w:rPr>
          <w:rFonts w:hint="eastAsia" w:ascii="仿宋_GB2312" w:hAnsi="楷体" w:eastAsia="仿宋_GB2312" w:cs="楷体"/>
          <w:bCs/>
          <w:color w:val="auto"/>
          <w:sz w:val="32"/>
          <w:szCs w:val="32"/>
          <w:lang w:val="en-US" w:eastAsia="zh-CN"/>
        </w:rPr>
        <w:t>355</w:t>
      </w:r>
      <w:r>
        <w:rPr>
          <w:rFonts w:hint="eastAsia" w:ascii="仿宋_GB2312" w:hAnsi="楷体" w:eastAsia="仿宋_GB2312" w:cs="楷体"/>
          <w:bCs/>
          <w:color w:val="auto"/>
          <w:sz w:val="32"/>
          <w:szCs w:val="32"/>
        </w:rPr>
        <w:t>人，其中全日制助学班</w:t>
      </w:r>
      <w:r>
        <w:rPr>
          <w:rFonts w:hint="eastAsia" w:ascii="仿宋_GB2312" w:hAnsi="楷体" w:eastAsia="仿宋_GB2312" w:cs="楷体"/>
          <w:bCs/>
          <w:color w:val="auto"/>
          <w:sz w:val="32"/>
          <w:szCs w:val="32"/>
          <w:lang w:val="en-US" w:eastAsia="zh-CN"/>
        </w:rPr>
        <w:t>79</w:t>
      </w:r>
      <w:r>
        <w:rPr>
          <w:rFonts w:hint="eastAsia" w:ascii="仿宋_GB2312" w:hAnsi="楷体" w:eastAsia="仿宋_GB2312" w:cs="楷体"/>
          <w:bCs/>
          <w:color w:val="auto"/>
          <w:sz w:val="32"/>
          <w:szCs w:val="32"/>
        </w:rPr>
        <w:t>人，业余助学班27</w:t>
      </w:r>
      <w:r>
        <w:rPr>
          <w:rFonts w:hint="eastAsia" w:ascii="仿宋_GB2312" w:hAnsi="楷体" w:eastAsia="仿宋_GB2312" w:cs="楷体"/>
          <w:bCs/>
          <w:color w:val="auto"/>
          <w:sz w:val="32"/>
          <w:szCs w:val="32"/>
          <w:lang w:val="en-US" w:eastAsia="zh-CN"/>
        </w:rPr>
        <w:t>6</w:t>
      </w:r>
      <w:r>
        <w:rPr>
          <w:rFonts w:hint="eastAsia" w:ascii="仿宋_GB2312" w:hAnsi="楷体" w:eastAsia="仿宋_GB2312" w:cs="楷体"/>
          <w:bCs/>
          <w:color w:val="auto"/>
          <w:sz w:val="32"/>
          <w:szCs w:val="32"/>
        </w:rPr>
        <w:t>人</w:t>
      </w:r>
      <w:r>
        <w:rPr>
          <w:rFonts w:hint="eastAsia" w:ascii="仿宋_GB2312" w:hAnsi="楷体" w:eastAsia="仿宋_GB2312" w:cs="楷体"/>
          <w:bCs/>
          <w:color w:val="auto"/>
          <w:sz w:val="32"/>
          <w:szCs w:val="32"/>
          <w:lang w:eastAsia="zh-CN"/>
        </w:rPr>
        <w:t>。</w:t>
      </w:r>
      <w:r>
        <w:rPr>
          <w:rFonts w:hint="eastAsia" w:ascii="仿宋_GB2312" w:hAnsi="楷体" w:eastAsia="仿宋_GB2312" w:cs="楷体"/>
          <w:bCs/>
          <w:color w:val="auto"/>
          <w:sz w:val="32"/>
          <w:szCs w:val="32"/>
          <w:lang w:val="en-US" w:eastAsia="zh-CN"/>
        </w:rPr>
        <w:t>全日制自考在校学生总计275人</w:t>
      </w:r>
      <w:r>
        <w:rPr>
          <w:rFonts w:hint="eastAsia" w:ascii="仿宋_GB2312" w:hAnsi="楷体" w:eastAsia="仿宋_GB2312" w:cs="楷体"/>
          <w:bCs/>
          <w:sz w:val="32"/>
          <w:szCs w:val="32"/>
        </w:rPr>
        <w:t>。招生计划由继续教育学院根据学校办学资源向省教育考试院申报，经省教育考试院批准后实施；招生简章等招生宣传材料均报省教育考试院备案、审定后，通过学院网站、广告媒介、印发纸质材料等向社会公开。</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firstLine="640" w:firstLineChars="200"/>
        <w:jc w:val="both"/>
        <w:textAlignment w:val="auto"/>
        <w:rPr>
          <w:rFonts w:ascii="仿宋_GB2312" w:hAnsi="楷体" w:eastAsia="仿宋_GB2312" w:cs="楷体"/>
          <w:bCs/>
          <w:sz w:val="32"/>
          <w:szCs w:val="32"/>
        </w:rPr>
      </w:pPr>
      <w:r>
        <w:rPr>
          <w:rFonts w:hint="eastAsia" w:ascii="仿宋_GB2312" w:hAnsi="楷体" w:eastAsia="仿宋_GB2312" w:cs="楷体"/>
          <w:bCs/>
          <w:sz w:val="32"/>
          <w:szCs w:val="32"/>
        </w:rPr>
        <w:t>此外，受省高职院校、普通高校专升本扩招</w:t>
      </w:r>
      <w:r>
        <w:rPr>
          <w:rFonts w:hint="eastAsia" w:ascii="仿宋_GB2312" w:hAnsi="楷体" w:eastAsia="仿宋_GB2312" w:cs="楷体"/>
          <w:bCs/>
          <w:sz w:val="32"/>
          <w:szCs w:val="32"/>
          <w:lang w:val="en-US" w:eastAsia="zh-CN"/>
        </w:rPr>
        <w:t>和</w:t>
      </w:r>
      <w:r>
        <w:rPr>
          <w:rFonts w:hint="eastAsia" w:ascii="仿宋_GB2312" w:hAnsi="楷体" w:eastAsia="仿宋_GB2312" w:cs="楷体"/>
          <w:bCs/>
          <w:sz w:val="32"/>
          <w:szCs w:val="32"/>
          <w:lang w:eastAsia="zh-CN"/>
        </w:rPr>
        <w:t>新考试计划的实</w:t>
      </w:r>
      <w:r>
        <w:rPr>
          <w:rFonts w:hint="eastAsia" w:ascii="仿宋_GB2312" w:hAnsi="楷体" w:eastAsia="仿宋_GB2312" w:cs="楷体"/>
          <w:bCs/>
          <w:color w:val="auto"/>
          <w:sz w:val="32"/>
          <w:szCs w:val="32"/>
          <w:lang w:eastAsia="zh-CN"/>
        </w:rPr>
        <w:t>施</w:t>
      </w:r>
      <w:r>
        <w:rPr>
          <w:rFonts w:hint="eastAsia" w:ascii="仿宋_GB2312" w:hAnsi="楷体" w:eastAsia="仿宋_GB2312" w:cs="楷体"/>
          <w:bCs/>
          <w:color w:val="auto"/>
          <w:sz w:val="32"/>
          <w:szCs w:val="32"/>
          <w:lang w:val="en-US" w:eastAsia="zh-CN"/>
        </w:rPr>
        <w:t>影响，</w:t>
      </w:r>
      <w:r>
        <w:rPr>
          <w:rFonts w:hint="eastAsia" w:ascii="仿宋_GB2312" w:hAnsi="楷体" w:eastAsia="仿宋_GB2312" w:cs="楷体"/>
          <w:bCs/>
          <w:sz w:val="32"/>
          <w:szCs w:val="32"/>
        </w:rPr>
        <w:t>自学考试“专本衔接”助学招生经受了极大的考验。学院启动“跑动”计划</w:t>
      </w:r>
      <w:r>
        <w:rPr>
          <w:rFonts w:hint="eastAsia" w:ascii="仿宋_GB2312" w:hAnsi="楷体" w:eastAsia="仿宋_GB2312" w:cs="楷体"/>
          <w:bCs/>
          <w:color w:val="auto"/>
          <w:sz w:val="32"/>
          <w:szCs w:val="32"/>
          <w:lang w:eastAsia="zh-CN"/>
        </w:rPr>
        <w:t>，</w:t>
      </w:r>
      <w:r>
        <w:rPr>
          <w:rFonts w:hint="eastAsia" w:ascii="仿宋_GB2312" w:hAnsi="楷体" w:eastAsia="仿宋_GB2312" w:cs="楷体"/>
          <w:bCs/>
          <w:color w:val="auto"/>
          <w:sz w:val="32"/>
          <w:szCs w:val="32"/>
        </w:rPr>
        <w:t>与合作院校共同制定发展路线</w:t>
      </w:r>
      <w:r>
        <w:rPr>
          <w:rFonts w:hint="eastAsia" w:ascii="仿宋_GB2312" w:hAnsi="楷体" w:eastAsia="仿宋_GB2312" w:cs="楷体"/>
          <w:bCs/>
          <w:color w:val="auto"/>
          <w:sz w:val="32"/>
          <w:szCs w:val="32"/>
          <w:lang w:eastAsia="zh-CN"/>
        </w:rPr>
        <w:t>，</w:t>
      </w:r>
      <w:r>
        <w:rPr>
          <w:rFonts w:hint="eastAsia" w:ascii="仿宋_GB2312" w:hAnsi="楷体" w:eastAsia="仿宋_GB2312" w:cs="楷体"/>
          <w:bCs/>
          <w:color w:val="auto"/>
          <w:sz w:val="32"/>
          <w:szCs w:val="32"/>
          <w:lang w:val="en-US" w:eastAsia="zh-CN"/>
        </w:rPr>
        <w:t>同时积极探索自学考试发展新机制</w:t>
      </w:r>
      <w:r>
        <w:rPr>
          <w:rFonts w:hint="eastAsia" w:ascii="仿宋_GB2312" w:hAnsi="楷体" w:eastAsia="仿宋_GB2312" w:cs="楷体"/>
          <w:bCs/>
          <w:color w:val="auto"/>
          <w:sz w:val="32"/>
          <w:szCs w:val="32"/>
          <w:lang w:eastAsia="zh-CN"/>
        </w:rPr>
        <w:t>。</w:t>
      </w:r>
      <w:r>
        <w:rPr>
          <w:rFonts w:hint="eastAsia" w:ascii="仿宋_GB2312" w:hAnsi="楷体" w:eastAsia="仿宋_GB2312" w:cs="楷体"/>
          <w:bCs/>
          <w:color w:val="auto"/>
          <w:sz w:val="32"/>
          <w:szCs w:val="32"/>
          <w:lang w:val="en-US" w:eastAsia="zh-CN"/>
        </w:rPr>
        <w:t>通过努力，</w:t>
      </w:r>
      <w:r>
        <w:rPr>
          <w:rFonts w:hint="eastAsia" w:ascii="仿宋_GB2312" w:hAnsi="楷体" w:eastAsia="仿宋_GB2312" w:cs="楷体"/>
          <w:bCs/>
          <w:color w:val="auto"/>
          <w:sz w:val="32"/>
          <w:szCs w:val="32"/>
        </w:rPr>
        <w:t>202</w:t>
      </w:r>
      <w:r>
        <w:rPr>
          <w:rFonts w:hint="eastAsia" w:ascii="仿宋_GB2312" w:hAnsi="楷体" w:eastAsia="仿宋_GB2312" w:cs="楷体"/>
          <w:bCs/>
          <w:color w:val="auto"/>
          <w:sz w:val="32"/>
          <w:szCs w:val="32"/>
          <w:lang w:val="en-US" w:eastAsia="zh-CN"/>
        </w:rPr>
        <w:t>4</w:t>
      </w:r>
      <w:r>
        <w:rPr>
          <w:rFonts w:hint="eastAsia" w:ascii="仿宋_GB2312" w:hAnsi="楷体" w:eastAsia="仿宋_GB2312" w:cs="楷体"/>
          <w:bCs/>
          <w:color w:val="auto"/>
          <w:sz w:val="32"/>
          <w:szCs w:val="32"/>
        </w:rPr>
        <w:t>年报读人数为</w:t>
      </w:r>
      <w:r>
        <w:rPr>
          <w:rFonts w:hint="eastAsia" w:ascii="仿宋_GB2312" w:hAnsi="楷体" w:eastAsia="仿宋_GB2312" w:cs="楷体"/>
          <w:bCs/>
          <w:color w:val="auto"/>
          <w:sz w:val="32"/>
          <w:szCs w:val="32"/>
          <w:lang w:val="en-US" w:eastAsia="zh-CN"/>
        </w:rPr>
        <w:t>1065</w:t>
      </w:r>
      <w:r>
        <w:rPr>
          <w:rFonts w:hint="eastAsia" w:ascii="仿宋_GB2312" w:hAnsi="楷体" w:eastAsia="仿宋_GB2312" w:cs="楷体"/>
          <w:bCs/>
          <w:color w:val="auto"/>
          <w:sz w:val="32"/>
          <w:szCs w:val="32"/>
        </w:rPr>
        <w:t>人</w:t>
      </w:r>
      <w:r>
        <w:rPr>
          <w:rFonts w:hint="eastAsia" w:ascii="仿宋_GB2312" w:hAnsi="楷体" w:eastAsia="仿宋_GB2312" w:cs="楷体"/>
          <w:bCs/>
          <w:color w:val="auto"/>
          <w:sz w:val="32"/>
          <w:szCs w:val="32"/>
          <w:lang w:eastAsia="zh-CN"/>
        </w:rPr>
        <w:t>，</w:t>
      </w:r>
      <w:r>
        <w:rPr>
          <w:rFonts w:hint="eastAsia" w:ascii="仿宋_GB2312" w:hAnsi="楷体" w:eastAsia="仿宋_GB2312" w:cs="楷体"/>
          <w:bCs/>
          <w:color w:val="auto"/>
          <w:sz w:val="32"/>
          <w:szCs w:val="32"/>
          <w:lang w:val="en-US" w:eastAsia="zh-CN"/>
        </w:rPr>
        <w:t>合作</w:t>
      </w:r>
      <w:r>
        <w:rPr>
          <w:rFonts w:hint="eastAsia" w:ascii="仿宋_GB2312" w:hAnsi="楷体" w:eastAsia="仿宋_GB2312" w:cs="楷体"/>
          <w:bCs/>
          <w:color w:val="auto"/>
          <w:sz w:val="32"/>
          <w:szCs w:val="32"/>
        </w:rPr>
        <w:t>高职（专科）院校1</w:t>
      </w:r>
      <w:r>
        <w:rPr>
          <w:rFonts w:hint="eastAsia" w:ascii="仿宋_GB2312" w:hAnsi="楷体" w:eastAsia="仿宋_GB2312" w:cs="楷体"/>
          <w:bCs/>
          <w:color w:val="auto"/>
          <w:sz w:val="32"/>
          <w:szCs w:val="32"/>
          <w:lang w:val="en-US" w:eastAsia="zh-CN"/>
        </w:rPr>
        <w:t>8</w:t>
      </w:r>
      <w:r>
        <w:rPr>
          <w:rFonts w:hint="eastAsia" w:ascii="仿宋_GB2312" w:hAnsi="楷体" w:eastAsia="仿宋_GB2312" w:cs="楷体"/>
          <w:bCs/>
          <w:color w:val="auto"/>
          <w:sz w:val="32"/>
          <w:szCs w:val="32"/>
        </w:rPr>
        <w:t>所，开设工商管理、行政管理、企业财务管理、旅游管理、电子商务等五个“专本衔接”助学专业，共有在读学生2447人。“专本衔</w:t>
      </w:r>
      <w:r>
        <w:rPr>
          <w:rFonts w:hint="eastAsia" w:ascii="仿宋_GB2312" w:hAnsi="楷体" w:eastAsia="仿宋_GB2312" w:cs="楷体"/>
          <w:bCs/>
          <w:sz w:val="32"/>
          <w:szCs w:val="32"/>
        </w:rPr>
        <w:t>接”助学招生简章经省教育考试院核准后对外公布，并发放至各合作院校，招生工作由学生所在院校负责，学生自愿参加。</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firstLine="640" w:firstLineChars="200"/>
        <w:jc w:val="both"/>
        <w:textAlignment w:val="auto"/>
        <w:rPr>
          <w:rFonts w:hint="default" w:ascii="黑体" w:hAnsi="黑体" w:eastAsia="黑体" w:cs="黑体"/>
          <w:bCs/>
          <w:sz w:val="32"/>
          <w:szCs w:val="32"/>
          <w:lang w:val="en-US" w:eastAsia="zh-CN"/>
        </w:rPr>
      </w:pPr>
      <w:r>
        <w:rPr>
          <w:rFonts w:hint="eastAsia" w:ascii="黑体" w:hAnsi="黑体" w:eastAsia="黑体" w:cs="黑体"/>
          <w:bCs/>
          <w:sz w:val="32"/>
          <w:szCs w:val="32"/>
        </w:rPr>
        <w:t>三、</w:t>
      </w:r>
      <w:r>
        <w:rPr>
          <w:rFonts w:hint="eastAsia" w:ascii="黑体" w:hAnsi="黑体" w:eastAsia="黑体" w:cs="黑体"/>
          <w:bCs/>
          <w:sz w:val="32"/>
          <w:szCs w:val="32"/>
          <w:lang w:val="en-US" w:eastAsia="zh-CN"/>
        </w:rPr>
        <w:t>同等学历申请硕士学位</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bCs/>
          <w:sz w:val="32"/>
          <w:szCs w:val="32"/>
        </w:rPr>
      </w:pPr>
      <w:r>
        <w:rPr>
          <w:rFonts w:hint="eastAsia" w:ascii="仿宋_GB2312" w:hAnsi="楷体" w:eastAsia="仿宋_GB2312" w:cs="楷体"/>
          <w:bCs/>
          <w:color w:val="auto"/>
          <w:sz w:val="32"/>
          <w:szCs w:val="32"/>
          <w:lang w:eastAsia="zh-CN"/>
        </w:rPr>
        <w:t>2023年学校重启同等学力申请硕士学位课程培训项目，在研究生院的指导下，由继续教育学院与各学科性学院共同培养，覆盖企业管理、旅游管理、统计学等13</w:t>
      </w:r>
      <w:r>
        <w:rPr>
          <w:rFonts w:hint="eastAsia" w:ascii="仿宋_GB2312" w:hAnsi="楷体" w:eastAsia="仿宋_GB2312" w:cs="楷体"/>
          <w:bCs/>
          <w:color w:val="auto"/>
          <w:sz w:val="32"/>
          <w:szCs w:val="32"/>
          <w:lang w:val="en-US" w:eastAsia="zh-CN"/>
        </w:rPr>
        <w:t>个</w:t>
      </w:r>
      <w:r>
        <w:rPr>
          <w:rFonts w:hint="eastAsia" w:ascii="仿宋_GB2312" w:hAnsi="楷体" w:eastAsia="仿宋_GB2312" w:cs="楷体"/>
          <w:bCs/>
          <w:color w:val="auto"/>
          <w:sz w:val="32"/>
          <w:szCs w:val="32"/>
          <w:lang w:eastAsia="zh-CN"/>
        </w:rPr>
        <w:t>专业，2024年春季班和秋季班共招收600人。项目依托本校资深专任教师及业界知名专家授课，师资力量强大；课程内容融合理论与实践，强调综合素质与专业技能的双重培养；采用周末集中授课，线上与线下灵活教学的模式，有效缓解工学矛盾。项目注重学员管理与服务，不定期举办线下交流活动，增进学员间互动与合作，为个人职业发展增添更多机遇与优势。</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firstLine="640" w:firstLineChars="200"/>
        <w:jc w:val="both"/>
        <w:textAlignment w:val="auto"/>
        <w:rPr>
          <w:rFonts w:ascii="黑体" w:hAnsi="黑体" w:eastAsia="黑体" w:cs="黑体"/>
          <w:bCs/>
          <w:sz w:val="32"/>
          <w:szCs w:val="32"/>
        </w:rPr>
      </w:pPr>
      <w:r>
        <w:rPr>
          <w:rFonts w:hint="eastAsia" w:ascii="黑体" w:hAnsi="黑体" w:eastAsia="黑体" w:cs="黑体"/>
          <w:bCs/>
          <w:sz w:val="32"/>
          <w:szCs w:val="32"/>
          <w:lang w:val="en-US" w:eastAsia="zh-CN"/>
        </w:rPr>
        <w:t>四、</w:t>
      </w:r>
      <w:r>
        <w:rPr>
          <w:rFonts w:hint="eastAsia" w:ascii="黑体" w:hAnsi="黑体" w:eastAsia="黑体" w:cs="黑体"/>
          <w:bCs/>
          <w:sz w:val="32"/>
          <w:szCs w:val="32"/>
        </w:rPr>
        <w:t>非学历继续教育</w:t>
      </w:r>
    </w:p>
    <w:p>
      <w:pPr>
        <w:ind w:firstLine="640" w:firstLineChars="200"/>
        <w:jc w:val="both"/>
        <w:rPr>
          <w:rFonts w:hint="eastAsia" w:ascii="仿宋_GB2312" w:hAnsi="楷体" w:eastAsia="仿宋_GB2312" w:cs="楷体"/>
          <w:bCs/>
          <w:sz w:val="32"/>
          <w:szCs w:val="32"/>
        </w:rPr>
      </w:pPr>
      <w:r>
        <w:rPr>
          <w:rFonts w:hint="eastAsia" w:ascii="仿宋_GB2312" w:hAnsi="楷体" w:eastAsia="仿宋_GB2312" w:cs="楷体"/>
          <w:bCs/>
          <w:sz w:val="32"/>
          <w:szCs w:val="32"/>
        </w:rPr>
        <w:t>2024年，非学历继续教育</w:t>
      </w:r>
      <w:r>
        <w:rPr>
          <w:rFonts w:hint="eastAsia" w:ascii="仿宋_GB2312" w:hAnsi="楷体" w:eastAsia="仿宋_GB2312" w:cs="楷体"/>
          <w:bCs/>
          <w:sz w:val="32"/>
          <w:szCs w:val="32"/>
          <w:lang w:val="en-US" w:eastAsia="zh-CN"/>
        </w:rPr>
        <w:t>发展取</w:t>
      </w:r>
      <w:r>
        <w:rPr>
          <w:rFonts w:hint="eastAsia" w:ascii="仿宋_GB2312" w:hAnsi="楷体" w:eastAsia="仿宋_GB2312" w:cs="楷体"/>
          <w:bCs/>
          <w:sz w:val="32"/>
          <w:szCs w:val="32"/>
        </w:rPr>
        <w:t>得一定成效，通过精细化打造项目团队，营造培训生态环境新高地；稳固已有老项目，拓展培训新领域；建设终身教育服务体系，满足社会人员个性化需求；全面实现培训项目落地生根、多元开花。在经济下行压力加大</w:t>
      </w:r>
      <w:r>
        <w:rPr>
          <w:rFonts w:hint="eastAsia" w:ascii="仿宋_GB2312" w:hAnsi="楷体" w:eastAsia="仿宋_GB2312" w:cs="楷体"/>
          <w:bCs/>
          <w:sz w:val="32"/>
          <w:szCs w:val="32"/>
          <w:lang w:val="en-US" w:eastAsia="zh-CN"/>
        </w:rPr>
        <w:t>的背景</w:t>
      </w:r>
      <w:r>
        <w:rPr>
          <w:rFonts w:hint="eastAsia" w:ascii="仿宋_GB2312" w:hAnsi="楷体" w:eastAsia="仿宋_GB2312" w:cs="楷体"/>
          <w:bCs/>
          <w:sz w:val="32"/>
          <w:szCs w:val="32"/>
        </w:rPr>
        <w:t>下，培训合同额同比增长70%。学校依托省级专业技术人才继续教育培训基地开展各类非学历教育培训工作，为相关政府部门和企业举办了155期各类短期培训班，培训学员9158人次；成功举办了浙江省人社厅“金融促进高质量发展企业家能力”“‘415X</w:t>
      </w:r>
      <w:r>
        <w:rPr>
          <w:rFonts w:hint="eastAsia" w:ascii="仿宋_GB2312" w:hAnsi="楷体" w:eastAsia="仿宋_GB2312" w:cs="楷体"/>
          <w:bCs/>
          <w:sz w:val="32"/>
          <w:szCs w:val="32"/>
          <w:lang w:eastAsia="zh-CN"/>
        </w:rPr>
        <w:t>’</w:t>
      </w:r>
      <w:r>
        <w:rPr>
          <w:rFonts w:hint="eastAsia" w:ascii="仿宋_GB2312" w:hAnsi="楷体" w:eastAsia="仿宋_GB2312" w:cs="楷体"/>
          <w:bCs/>
          <w:sz w:val="32"/>
          <w:szCs w:val="32"/>
        </w:rPr>
        <w:t>先进制造集群引领生产性服务业高质量发展”高级研修班；举办浙江省中小学教师培训项目，共计29期，培训学员935人次；开设CFA、CPA等财会金融类职业资格证书课程班、雅思培训班等；完成11次7720人次的企业人力资源管理师、供应链管理师、人工智能训练师职业技能等级认定工作；首次开设夜校兴趣班，取得良好社会效益。</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楷体" w:eastAsia="仿宋_GB2312" w:cs="楷体"/>
          <w:bCs/>
          <w:sz w:val="32"/>
          <w:szCs w:val="32"/>
        </w:rPr>
      </w:pPr>
      <w:r>
        <w:rPr>
          <w:rFonts w:hint="eastAsia" w:ascii="仿宋_GB2312" w:hAnsi="楷体" w:eastAsia="仿宋_GB2312" w:cs="楷体"/>
          <w:bCs/>
          <w:sz w:val="32"/>
          <w:szCs w:val="32"/>
        </w:rPr>
        <w:t>建立数字产业人才培养基地，开展数字产业人才培养工作，打造“综合素养+专业基础+核心技能+实习实训”四维一体人才培养模式，通过有效举措，确保项目高质量运营</w:t>
      </w:r>
      <w:r>
        <w:rPr>
          <w:rFonts w:hint="eastAsia" w:ascii="仿宋_GB2312" w:hAnsi="楷体" w:eastAsia="仿宋_GB2312" w:cs="楷体"/>
          <w:bCs/>
          <w:sz w:val="32"/>
          <w:szCs w:val="32"/>
          <w:lang w:eastAsia="zh-CN"/>
        </w:rPr>
        <w:t>。</w:t>
      </w:r>
      <w:r>
        <w:rPr>
          <w:rFonts w:hint="eastAsia" w:ascii="仿宋_GB2312" w:hAnsi="楷体" w:eastAsia="仿宋_GB2312" w:cs="楷体"/>
          <w:bCs/>
          <w:sz w:val="32"/>
          <w:szCs w:val="32"/>
          <w:lang w:val="en-US" w:eastAsia="zh-CN"/>
        </w:rPr>
        <w:t>2024年招收新生191人，</w:t>
      </w:r>
      <w:r>
        <w:rPr>
          <w:rFonts w:hint="eastAsia" w:ascii="仿宋_GB2312" w:hAnsi="楷体" w:eastAsia="仿宋_GB2312" w:cs="楷体"/>
          <w:bCs/>
          <w:sz w:val="32"/>
          <w:szCs w:val="32"/>
        </w:rPr>
        <w:t>现有在校生667名。</w:t>
      </w:r>
    </w:p>
    <w:p>
      <w:pPr>
        <w:rPr>
          <w:rFonts w:hint="eastAsia" w:ascii="仿宋_GB2312" w:hAnsi="楷体" w:eastAsia="仿宋_GB2312" w:cs="楷体"/>
          <w:bCs/>
          <w:sz w:val="32"/>
          <w:szCs w:val="32"/>
        </w:rPr>
      </w:pPr>
      <w:r>
        <w:rPr>
          <w:rFonts w:hint="eastAsia" w:ascii="仿宋_GB2312" w:hAnsi="楷体" w:eastAsia="仿宋_GB2312" w:cs="楷体"/>
          <w:bCs/>
          <w:sz w:val="32"/>
          <w:szCs w:val="32"/>
        </w:rPr>
        <w:br w:type="page"/>
      </w:r>
    </w:p>
    <w:p>
      <w:pPr>
        <w:pStyle w:val="2"/>
        <w:keepNext/>
        <w:keepLines/>
        <w:pageBreakBefore w:val="0"/>
        <w:widowControl w:val="0"/>
        <w:kinsoku/>
        <w:wordWrap/>
        <w:overflowPunct/>
        <w:topLinePunct w:val="0"/>
        <w:autoSpaceDE/>
        <w:autoSpaceDN/>
        <w:bidi w:val="0"/>
        <w:adjustRightInd/>
        <w:snapToGrid w:val="0"/>
        <w:spacing w:before="0" w:after="313" w:afterLines="100" w:line="560" w:lineRule="exact"/>
        <w:textAlignment w:val="auto"/>
        <w:rPr>
          <w:rFonts w:hint="eastAsia" w:ascii="方正小标宋简体" w:hAnsi="方正小标宋简体" w:eastAsia="方正小标宋简体" w:cs="方正小标宋简体"/>
          <w:b w:val="0"/>
          <w:bCs w:val="0"/>
        </w:rPr>
      </w:pPr>
      <w:bookmarkStart w:id="8" w:name="_Toc166238693"/>
      <w:r>
        <w:rPr>
          <w:rFonts w:hint="eastAsia" w:ascii="方正小标宋简体" w:hAnsi="方正小标宋简体" w:eastAsia="方正小标宋简体" w:cs="方正小标宋简体"/>
          <w:b w:val="0"/>
          <w:bCs w:val="0"/>
        </w:rPr>
        <w:t>202</w:t>
      </w:r>
      <w:r>
        <w:rPr>
          <w:rFonts w:hint="eastAsia" w:ascii="方正小标宋简体" w:hAnsi="方正小标宋简体" w:cs="方正小标宋简体"/>
          <w:b w:val="0"/>
          <w:bCs w:val="0"/>
          <w:lang w:val="en-US" w:eastAsia="zh-CN"/>
        </w:rPr>
        <w:t>4</w:t>
      </w:r>
      <w:r>
        <w:rPr>
          <w:rFonts w:hint="eastAsia" w:ascii="方正小标宋简体" w:hAnsi="方正小标宋简体" w:eastAsia="方正小标宋简体" w:cs="方正小标宋简体"/>
          <w:b w:val="0"/>
          <w:bCs w:val="0"/>
        </w:rPr>
        <w:t>年专业技术职务评审与评优活动工作公开报告</w:t>
      </w:r>
      <w:bookmarkEnd w:id="8"/>
    </w:p>
    <w:p>
      <w:pPr>
        <w:pStyle w:val="17"/>
        <w:ind w:firstLine="640"/>
        <w:jc w:val="both"/>
        <w:rPr>
          <w:rFonts w:ascii="黑体" w:hAnsi="黑体" w:eastAsia="黑体"/>
          <w:b w:val="0"/>
        </w:rPr>
      </w:pPr>
      <w:r>
        <w:rPr>
          <w:rFonts w:hint="eastAsia" w:ascii="黑体" w:hAnsi="黑体" w:eastAsia="黑体"/>
          <w:b w:val="0"/>
        </w:rPr>
        <w:t>一、基本情况</w:t>
      </w:r>
    </w:p>
    <w:p>
      <w:pPr>
        <w:spacing w:line="560" w:lineRule="exact"/>
        <w:ind w:firstLine="643" w:firstLineChars="200"/>
        <w:outlineLvl w:val="9"/>
        <w:rPr>
          <w:rFonts w:ascii="楷体_GB2312" w:eastAsia="楷体_GB2312"/>
          <w:b/>
          <w:bCs/>
          <w:sz w:val="32"/>
          <w:szCs w:val="32"/>
        </w:rPr>
      </w:pPr>
      <w:bookmarkStart w:id="9" w:name="_Toc5089728"/>
      <w:bookmarkStart w:id="10" w:name="_Toc30940"/>
      <w:bookmarkStart w:id="11" w:name="_Toc5262938"/>
      <w:bookmarkStart w:id="12" w:name="_Toc103345066"/>
      <w:bookmarkStart w:id="13" w:name="_Toc5262425"/>
      <w:bookmarkStart w:id="14" w:name="_Toc103343703"/>
      <w:r>
        <w:rPr>
          <w:rFonts w:hint="eastAsia" w:ascii="楷体_GB2312" w:eastAsia="楷体_GB2312"/>
          <w:b/>
          <w:bCs/>
          <w:sz w:val="32"/>
          <w:szCs w:val="32"/>
        </w:rPr>
        <w:t>（一）专业技术职务评聘的基本情况</w:t>
      </w:r>
      <w:bookmarkEnd w:id="9"/>
      <w:bookmarkEnd w:id="10"/>
      <w:bookmarkEnd w:id="11"/>
      <w:bookmarkEnd w:id="12"/>
      <w:bookmarkEnd w:id="13"/>
      <w:bookmarkEnd w:id="14"/>
    </w:p>
    <w:p>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1.晋升评聘。</w:t>
      </w:r>
      <w:r>
        <w:rPr>
          <w:rFonts w:hint="eastAsia" w:ascii="仿宋_GB2312" w:eastAsia="仿宋_GB2312"/>
          <w:color w:val="auto"/>
          <w:sz w:val="32"/>
          <w:szCs w:val="32"/>
          <w:lang w:val="en-US" w:eastAsia="zh-CN"/>
        </w:rPr>
        <w:t>2024年度</w:t>
      </w:r>
      <w:r>
        <w:rPr>
          <w:rFonts w:hint="eastAsia" w:ascii="仿宋_GB2312" w:eastAsia="仿宋_GB2312"/>
          <w:color w:val="auto"/>
          <w:sz w:val="32"/>
          <w:szCs w:val="32"/>
        </w:rPr>
        <w:t>我校专业技术职务评聘工作分上、下半年两次进行，上半年组织“绿色通道”评审，于2024年5月启动，7月底结束。下半年组织年度评审和第二次“绿色通道”评审，于2024年9月启动，12月底结束。</w:t>
      </w:r>
    </w:p>
    <w:p>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2024年全年申报各系列高级专业技术职务人员共64人，经资格审查，符合专业技术职务评聘条件、代表性成果鉴定达到规定条件、经学院考核推荐的申报人员共56人，其中申报正高11人，副高45人。参加校评聘委员会评审共42人，参加校常设组织评审共14人。经学校专业技术职务评审委员会相应评审会议评审，实际聘任正高职务11人，副高职务45人（含转评5人）。</w:t>
      </w:r>
    </w:p>
    <w:p>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2.专业技术职务初聘。20</w:t>
      </w:r>
      <w:r>
        <w:rPr>
          <w:rFonts w:ascii="仿宋_GB2312" w:eastAsia="仿宋_GB2312"/>
          <w:color w:val="auto"/>
          <w:sz w:val="32"/>
          <w:szCs w:val="32"/>
        </w:rPr>
        <w:t>2</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年，对博士、硕士等毕业符合条件的教师，初聘十级岗</w:t>
      </w:r>
      <w:r>
        <w:rPr>
          <w:rFonts w:hint="eastAsia" w:ascii="仿宋_GB2312" w:eastAsia="仿宋_GB2312"/>
          <w:color w:val="auto"/>
          <w:sz w:val="32"/>
          <w:szCs w:val="32"/>
          <w:lang w:val="en-US" w:eastAsia="zh-CN"/>
        </w:rPr>
        <w:t>55</w:t>
      </w:r>
      <w:r>
        <w:rPr>
          <w:rFonts w:hint="eastAsia" w:ascii="仿宋_GB2312" w:eastAsia="仿宋_GB2312"/>
          <w:color w:val="auto"/>
          <w:sz w:val="32"/>
          <w:szCs w:val="32"/>
        </w:rPr>
        <w:t>人，转评聘十级岗</w:t>
      </w:r>
      <w:r>
        <w:rPr>
          <w:rFonts w:hint="eastAsia" w:ascii="仿宋_GB2312" w:eastAsia="仿宋_GB2312"/>
          <w:color w:val="auto"/>
          <w:sz w:val="32"/>
          <w:szCs w:val="32"/>
          <w:lang w:val="en-US" w:eastAsia="zh-CN"/>
        </w:rPr>
        <w:t>2</w:t>
      </w:r>
      <w:r>
        <w:rPr>
          <w:rFonts w:hint="eastAsia" w:ascii="仿宋_GB2312" w:eastAsia="仿宋_GB2312"/>
          <w:color w:val="auto"/>
          <w:sz w:val="32"/>
          <w:szCs w:val="32"/>
        </w:rPr>
        <w:t>人。</w:t>
      </w:r>
    </w:p>
    <w:p>
      <w:pPr>
        <w:spacing w:line="560" w:lineRule="exact"/>
        <w:ind w:firstLine="643" w:firstLineChars="200"/>
        <w:outlineLvl w:val="9"/>
        <w:rPr>
          <w:rFonts w:ascii="楷体_GB2312" w:eastAsia="楷体_GB2312"/>
          <w:b/>
          <w:bCs/>
          <w:sz w:val="32"/>
          <w:szCs w:val="32"/>
        </w:rPr>
      </w:pPr>
      <w:bookmarkStart w:id="15" w:name="_Toc103345067"/>
      <w:bookmarkStart w:id="16" w:name="_Toc5262426"/>
      <w:bookmarkStart w:id="17" w:name="_Toc103343704"/>
      <w:bookmarkStart w:id="18" w:name="_Toc5089729"/>
      <w:bookmarkStart w:id="19" w:name="_Toc17590"/>
      <w:bookmarkStart w:id="20" w:name="_Toc5262939"/>
      <w:r>
        <w:rPr>
          <w:rFonts w:hint="eastAsia" w:ascii="楷体_GB2312" w:eastAsia="楷体_GB2312"/>
          <w:b/>
          <w:bCs/>
          <w:sz w:val="32"/>
          <w:szCs w:val="32"/>
        </w:rPr>
        <w:t>（二）</w:t>
      </w:r>
      <w:bookmarkEnd w:id="15"/>
      <w:bookmarkEnd w:id="16"/>
      <w:bookmarkEnd w:id="17"/>
      <w:bookmarkEnd w:id="18"/>
      <w:bookmarkEnd w:id="19"/>
      <w:bookmarkEnd w:id="20"/>
      <w:r>
        <w:rPr>
          <w:rFonts w:hint="eastAsia" w:ascii="楷体_GB2312" w:eastAsia="楷体_GB2312"/>
          <w:b/>
          <w:bCs/>
          <w:sz w:val="32"/>
          <w:szCs w:val="32"/>
          <w:lang w:val="en-US" w:eastAsia="zh-CN"/>
        </w:rPr>
        <w:t>荣誉称号推荐评选</w:t>
      </w:r>
      <w:r>
        <w:rPr>
          <w:rFonts w:hint="eastAsia" w:ascii="楷体_GB2312" w:eastAsia="楷体_GB2312"/>
          <w:b/>
          <w:bCs/>
          <w:sz w:val="32"/>
          <w:szCs w:val="32"/>
        </w:rPr>
        <w:t>的基本情况</w:t>
      </w:r>
    </w:p>
    <w:p>
      <w:pPr>
        <w:spacing w:after="312" w:afterLines="100" w:line="560" w:lineRule="exact"/>
        <w:ind w:firstLine="640" w:firstLineChars="200"/>
        <w:rPr>
          <w:rFonts w:hint="eastAsia"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年，人事</w:t>
      </w:r>
      <w:r>
        <w:rPr>
          <w:rFonts w:hint="eastAsia" w:ascii="仿宋_GB2312" w:eastAsia="仿宋_GB2312"/>
          <w:sz w:val="32"/>
          <w:szCs w:val="32"/>
          <w:highlight w:val="none"/>
        </w:rPr>
        <w:t>处、人才办、教</w:t>
      </w:r>
      <w:r>
        <w:rPr>
          <w:rFonts w:hint="eastAsia" w:ascii="仿宋_GB2312" w:eastAsia="仿宋_GB2312"/>
          <w:sz w:val="32"/>
          <w:szCs w:val="32"/>
        </w:rPr>
        <w:t>务处和工会组织的主要人才推优和荣誉申报项目工作情况如下：</w:t>
      </w:r>
    </w:p>
    <w:p>
      <w:pPr>
        <w:spacing w:after="312" w:afterLines="100" w:line="560" w:lineRule="exact"/>
        <w:ind w:firstLine="640" w:firstLineChars="200"/>
        <w:rPr>
          <w:rFonts w:hint="eastAsia" w:ascii="仿宋_GB2312" w:eastAsia="仿宋_GB2312"/>
          <w:sz w:val="32"/>
          <w:szCs w:val="32"/>
        </w:rPr>
      </w:pPr>
    </w:p>
    <w:p>
      <w:pPr>
        <w:spacing w:after="312" w:afterLines="100" w:line="560" w:lineRule="exact"/>
        <w:ind w:firstLine="640" w:firstLineChars="200"/>
        <w:rPr>
          <w:rFonts w:hint="eastAsia" w:ascii="仿宋_GB2312" w:eastAsia="仿宋_GB2312"/>
          <w:sz w:val="32"/>
          <w:szCs w:val="32"/>
        </w:rPr>
      </w:pPr>
    </w:p>
    <w:p>
      <w:pPr>
        <w:spacing w:after="312" w:afterLines="100" w:line="560" w:lineRule="exact"/>
        <w:ind w:firstLine="640" w:firstLineChars="200"/>
        <w:rPr>
          <w:rFonts w:hint="eastAsia" w:ascii="仿宋_GB2312" w:eastAsia="仿宋_GB2312"/>
          <w:sz w:val="32"/>
          <w:szCs w:val="32"/>
        </w:rPr>
      </w:pPr>
    </w:p>
    <w:tbl>
      <w:tblPr>
        <w:tblStyle w:val="10"/>
        <w:tblW w:w="89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0"/>
        <w:gridCol w:w="2166"/>
        <w:gridCol w:w="2169"/>
        <w:gridCol w:w="2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trPr>
        <w:tc>
          <w:tcPr>
            <w:tcW w:w="2030"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ascii="仿宋_GB2312" w:hAnsi="仿宋_GB2312" w:eastAsia="仿宋_GB2312" w:cs="仿宋_GB2312"/>
                <w:b/>
                <w:sz w:val="24"/>
              </w:rPr>
            </w:pPr>
            <w:r>
              <w:rPr>
                <w:rFonts w:hint="eastAsia" w:ascii="仿宋_GB2312" w:hAnsi="仿宋_GB2312" w:eastAsia="仿宋_GB2312" w:cs="仿宋_GB2312"/>
                <w:b/>
                <w:sz w:val="24"/>
              </w:rPr>
              <w:t>项目名称</w:t>
            </w:r>
          </w:p>
        </w:tc>
        <w:tc>
          <w:tcPr>
            <w:tcW w:w="2166"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ascii="仿宋_GB2312" w:hAnsi="仿宋_GB2312" w:eastAsia="仿宋_GB2312" w:cs="仿宋_GB2312"/>
                <w:b/>
                <w:sz w:val="24"/>
              </w:rPr>
            </w:pPr>
            <w:r>
              <w:rPr>
                <w:rFonts w:hint="eastAsia" w:ascii="仿宋_GB2312" w:hAnsi="仿宋_GB2312" w:eastAsia="仿宋_GB2312" w:cs="仿宋_GB2312"/>
                <w:b/>
                <w:sz w:val="24"/>
              </w:rPr>
              <w:t>通知发布</w:t>
            </w:r>
          </w:p>
        </w:tc>
        <w:tc>
          <w:tcPr>
            <w:tcW w:w="2169"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ascii="仿宋_GB2312" w:hAnsi="仿宋_GB2312" w:eastAsia="仿宋_GB2312" w:cs="仿宋_GB2312"/>
                <w:b/>
                <w:sz w:val="24"/>
              </w:rPr>
            </w:pPr>
            <w:r>
              <w:rPr>
                <w:rFonts w:hint="eastAsia" w:ascii="仿宋_GB2312" w:hAnsi="仿宋_GB2312" w:eastAsia="仿宋_GB2312" w:cs="仿宋_GB2312"/>
                <w:b/>
                <w:sz w:val="24"/>
              </w:rPr>
              <w:t>校内公示</w:t>
            </w:r>
          </w:p>
        </w:tc>
        <w:tc>
          <w:tcPr>
            <w:tcW w:w="2611" w:type="dxa"/>
            <w:vAlign w:val="center"/>
          </w:tcPr>
          <w:p>
            <w:pPr>
              <w:keepNext w:val="0"/>
              <w:keepLines w:val="0"/>
              <w:pageBreakBefore w:val="0"/>
              <w:widowControl w:val="0"/>
              <w:kinsoku/>
              <w:wordWrap/>
              <w:overflowPunct/>
              <w:topLinePunct w:val="0"/>
              <w:autoSpaceDE/>
              <w:autoSpaceDN/>
              <w:bidi w:val="0"/>
              <w:adjustRightInd/>
              <w:snapToGrid/>
              <w:ind w:firstLine="0"/>
              <w:jc w:val="center"/>
              <w:textAlignment w:val="auto"/>
              <w:rPr>
                <w:rFonts w:ascii="仿宋_GB2312" w:hAnsi="仿宋_GB2312" w:eastAsia="仿宋_GB2312" w:cs="仿宋_GB2312"/>
                <w:b/>
                <w:sz w:val="24"/>
              </w:rPr>
            </w:pPr>
            <w:r>
              <w:rPr>
                <w:rFonts w:hint="eastAsia" w:ascii="仿宋_GB2312" w:hAnsi="仿宋_GB2312" w:eastAsia="仿宋_GB2312" w:cs="仿宋_GB2312"/>
                <w:b/>
                <w:sz w:val="24"/>
              </w:rPr>
              <w:t>入选人员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90" w:hRule="atLeast"/>
        </w:trPr>
        <w:tc>
          <w:tcPr>
            <w:tcW w:w="2030"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ascii="仿宋_GB2312" w:hAnsi="仿宋_GB2312" w:eastAsia="仿宋_GB2312" w:cs="仿宋_GB2312"/>
                <w:sz w:val="24"/>
              </w:rPr>
            </w:pPr>
            <w:r>
              <w:rPr>
                <w:rFonts w:hint="eastAsia" w:ascii="仿宋_GB2312" w:hAnsi="仿宋_GB2312" w:eastAsia="仿宋_GB2312" w:cs="仿宋_GB2312"/>
                <w:sz w:val="24"/>
              </w:rPr>
              <w:t>校优秀教师和优秀教育工作者</w:t>
            </w:r>
          </w:p>
        </w:tc>
        <w:tc>
          <w:tcPr>
            <w:tcW w:w="2166"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202</w:t>
            </w:r>
            <w:r>
              <w:rPr>
                <w:rFonts w:hint="eastAsia" w:ascii="仿宋_GB2312" w:hAnsi="仿宋_GB2312" w:eastAsia="仿宋_GB2312" w:cs="仿宋_GB2312"/>
                <w:sz w:val="24"/>
                <w:highlight w:val="none"/>
                <w:lang w:val="en-US" w:eastAsia="zh-CN"/>
              </w:rPr>
              <w:t>4</w:t>
            </w:r>
            <w:r>
              <w:rPr>
                <w:rFonts w:hint="eastAsia" w:ascii="仿宋_GB2312" w:hAnsi="仿宋_GB2312" w:eastAsia="仿宋_GB2312" w:cs="仿宋_GB2312"/>
                <w:sz w:val="24"/>
                <w:highlight w:val="none"/>
              </w:rPr>
              <w:t>年</w:t>
            </w:r>
            <w:r>
              <w:rPr>
                <w:rFonts w:hint="eastAsia" w:ascii="仿宋_GB2312" w:hAnsi="仿宋_GB2312" w:eastAsia="仿宋_GB2312" w:cs="仿宋_GB2312"/>
                <w:sz w:val="24"/>
                <w:highlight w:val="none"/>
                <w:lang w:val="en-US" w:eastAsia="zh-CN"/>
              </w:rPr>
              <w:t>4</w:t>
            </w:r>
            <w:r>
              <w:rPr>
                <w:rFonts w:hint="eastAsia" w:ascii="仿宋_GB2312" w:hAnsi="仿宋_GB2312" w:eastAsia="仿宋_GB2312" w:cs="仿宋_GB2312"/>
                <w:sz w:val="24"/>
                <w:highlight w:val="none"/>
              </w:rPr>
              <w:t>月</w:t>
            </w:r>
            <w:r>
              <w:rPr>
                <w:rFonts w:hint="eastAsia" w:ascii="仿宋_GB2312" w:hAnsi="仿宋_GB2312" w:eastAsia="仿宋_GB2312" w:cs="仿宋_GB2312"/>
                <w:sz w:val="24"/>
                <w:highlight w:val="none"/>
                <w:lang w:val="en-US" w:eastAsia="zh-CN"/>
              </w:rPr>
              <w:t>30</w:t>
            </w:r>
            <w:r>
              <w:rPr>
                <w:rFonts w:hint="eastAsia" w:ascii="仿宋_GB2312" w:hAnsi="仿宋_GB2312" w:eastAsia="仿宋_GB2312" w:cs="仿宋_GB2312"/>
                <w:sz w:val="24"/>
                <w:highlight w:val="none"/>
              </w:rPr>
              <w:t>日</w:t>
            </w:r>
          </w:p>
        </w:tc>
        <w:tc>
          <w:tcPr>
            <w:tcW w:w="2169"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202</w:t>
            </w:r>
            <w:r>
              <w:rPr>
                <w:rFonts w:hint="eastAsia" w:ascii="仿宋_GB2312" w:hAnsi="仿宋_GB2312" w:eastAsia="仿宋_GB2312" w:cs="仿宋_GB2312"/>
                <w:sz w:val="24"/>
                <w:highlight w:val="none"/>
                <w:lang w:val="en-US" w:eastAsia="zh-CN"/>
              </w:rPr>
              <w:t>4</w:t>
            </w:r>
            <w:r>
              <w:rPr>
                <w:rFonts w:hint="eastAsia" w:ascii="仿宋_GB2312" w:hAnsi="仿宋_GB2312" w:eastAsia="仿宋_GB2312" w:cs="仿宋_GB2312"/>
                <w:sz w:val="24"/>
                <w:highlight w:val="none"/>
              </w:rPr>
              <w:t>年</w:t>
            </w:r>
            <w:r>
              <w:rPr>
                <w:rFonts w:hint="eastAsia" w:ascii="仿宋_GB2312" w:hAnsi="仿宋_GB2312" w:eastAsia="仿宋_GB2312" w:cs="仿宋_GB2312"/>
                <w:sz w:val="24"/>
                <w:highlight w:val="none"/>
                <w:lang w:val="en-US" w:eastAsia="zh-CN"/>
              </w:rPr>
              <w:t>7</w:t>
            </w:r>
            <w:r>
              <w:rPr>
                <w:rFonts w:hint="eastAsia" w:ascii="仿宋_GB2312" w:hAnsi="仿宋_GB2312" w:eastAsia="仿宋_GB2312" w:cs="仿宋_GB2312"/>
                <w:sz w:val="24"/>
                <w:highlight w:val="none"/>
              </w:rPr>
              <w:t>月</w:t>
            </w:r>
            <w:r>
              <w:rPr>
                <w:rFonts w:hint="eastAsia" w:ascii="仿宋_GB2312" w:hAnsi="仿宋_GB2312" w:eastAsia="仿宋_GB2312" w:cs="仿宋_GB2312"/>
                <w:sz w:val="24"/>
                <w:highlight w:val="none"/>
                <w:lang w:val="en-US" w:eastAsia="zh-CN"/>
              </w:rPr>
              <w:t>27</w:t>
            </w:r>
            <w:r>
              <w:rPr>
                <w:rFonts w:hint="eastAsia" w:ascii="仿宋_GB2312" w:hAnsi="仿宋_GB2312" w:eastAsia="仿宋_GB2312" w:cs="仿宋_GB2312"/>
                <w:sz w:val="24"/>
                <w:highlight w:val="none"/>
              </w:rPr>
              <w:t>日</w:t>
            </w:r>
          </w:p>
        </w:tc>
        <w:tc>
          <w:tcPr>
            <w:tcW w:w="2611"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both"/>
              <w:textAlignment w:val="auto"/>
              <w:rPr>
                <w:rFonts w:hint="default" w:ascii="仿宋_GB2312" w:hAnsi="仿宋_GB2312" w:eastAsia="仿宋_GB2312" w:cs="仿宋_GB2312"/>
                <w:sz w:val="24"/>
                <w:lang w:val="en-US" w:eastAsia="zh-CN"/>
              </w:rPr>
            </w:pPr>
            <w:r>
              <w:rPr>
                <w:rFonts w:hint="default" w:ascii="仿宋_GB2312" w:hAnsi="仿宋_GB2312" w:eastAsia="仿宋_GB2312" w:cs="仿宋_GB2312"/>
                <w:sz w:val="24"/>
                <w:lang w:val="en-US" w:eastAsia="zh-CN"/>
              </w:rPr>
              <w:t>方涧</w:t>
            </w:r>
            <w:r>
              <w:rPr>
                <w:rFonts w:hint="default" w:ascii="仿宋_GB2312" w:hAnsi="仿宋_GB2312" w:eastAsia="仿宋_GB2312" w:cs="仿宋_GB2312"/>
                <w:sz w:val="24"/>
                <w:lang w:eastAsia="zh-CN"/>
              </w:rPr>
              <w:t>、</w:t>
            </w:r>
            <w:r>
              <w:rPr>
                <w:rFonts w:hint="default" w:ascii="仿宋_GB2312" w:hAnsi="仿宋_GB2312" w:eastAsia="仿宋_GB2312" w:cs="仿宋_GB2312"/>
                <w:sz w:val="24"/>
                <w:lang w:val="en-US" w:eastAsia="zh-CN"/>
              </w:rPr>
              <w:t>叶庆燕</w:t>
            </w:r>
            <w:r>
              <w:rPr>
                <w:rFonts w:hint="default" w:ascii="仿宋_GB2312" w:hAnsi="仿宋_GB2312" w:eastAsia="仿宋_GB2312" w:cs="仿宋_GB2312"/>
                <w:sz w:val="24"/>
                <w:lang w:eastAsia="zh-CN"/>
              </w:rPr>
              <w:t>、</w:t>
            </w:r>
            <w:r>
              <w:rPr>
                <w:rFonts w:hint="default" w:ascii="仿宋_GB2312" w:hAnsi="仿宋_GB2312" w:eastAsia="仿宋_GB2312" w:cs="仿宋_GB2312"/>
                <w:sz w:val="24"/>
                <w:lang w:val="en-US" w:eastAsia="zh-CN"/>
              </w:rPr>
              <w:t>冯炜（艺术学院</w:t>
            </w:r>
            <w:r>
              <w:rPr>
                <w:rFonts w:hint="default" w:ascii="仿宋_GB2312" w:hAnsi="仿宋_GB2312" w:eastAsia="仿宋_GB2312" w:cs="仿宋_GB2312"/>
                <w:sz w:val="24"/>
                <w:lang w:eastAsia="zh-CN"/>
              </w:rPr>
              <w:t>）、</w:t>
            </w:r>
            <w:r>
              <w:rPr>
                <w:rFonts w:hint="default" w:ascii="仿宋_GB2312" w:hAnsi="仿宋_GB2312" w:eastAsia="仿宋_GB2312" w:cs="仿宋_GB2312"/>
                <w:sz w:val="24"/>
                <w:lang w:val="en-US" w:eastAsia="zh-CN"/>
              </w:rPr>
              <w:t>朱贺</w:t>
            </w:r>
            <w:r>
              <w:rPr>
                <w:rFonts w:hint="default" w:ascii="仿宋_GB2312" w:hAnsi="仿宋_GB2312" w:eastAsia="仿宋_GB2312" w:cs="仿宋_GB2312"/>
                <w:sz w:val="24"/>
                <w:lang w:eastAsia="zh-CN"/>
              </w:rPr>
              <w:t>、</w:t>
            </w:r>
            <w:r>
              <w:rPr>
                <w:rFonts w:hint="default" w:ascii="仿宋_GB2312" w:hAnsi="仿宋_GB2312" w:eastAsia="仿宋_GB2312" w:cs="仿宋_GB2312"/>
                <w:sz w:val="24"/>
                <w:lang w:val="en-US" w:eastAsia="zh-CN"/>
              </w:rPr>
              <w:t>刘艳（马克思主义学院）</w:t>
            </w:r>
            <w:r>
              <w:rPr>
                <w:rFonts w:hint="default" w:ascii="仿宋_GB2312" w:hAnsi="仿宋_GB2312" w:eastAsia="仿宋_GB2312" w:cs="仿宋_GB2312"/>
                <w:sz w:val="24"/>
                <w:lang w:eastAsia="zh-CN"/>
              </w:rPr>
              <w:t>、</w:t>
            </w:r>
            <w:r>
              <w:rPr>
                <w:rFonts w:hint="default" w:ascii="仿宋_GB2312" w:hAnsi="仿宋_GB2312" w:eastAsia="仿宋_GB2312" w:cs="仿宋_GB2312"/>
                <w:sz w:val="24"/>
                <w:lang w:val="en-US" w:eastAsia="zh-CN"/>
              </w:rPr>
              <w:t>刘惠君</w:t>
            </w:r>
            <w:r>
              <w:rPr>
                <w:rFonts w:hint="default" w:ascii="仿宋_GB2312" w:hAnsi="仿宋_GB2312" w:eastAsia="仿宋_GB2312" w:cs="仿宋_GB2312"/>
                <w:sz w:val="24"/>
                <w:lang w:eastAsia="zh-CN"/>
              </w:rPr>
              <w:t>、</w:t>
            </w:r>
            <w:r>
              <w:rPr>
                <w:rFonts w:hint="default" w:ascii="仿宋_GB2312" w:hAnsi="仿宋_GB2312" w:eastAsia="仿宋_GB2312" w:cs="仿宋_GB2312"/>
                <w:sz w:val="24"/>
                <w:lang w:val="en-US" w:eastAsia="zh-CN"/>
              </w:rPr>
              <w:t>李进</w:t>
            </w:r>
            <w:r>
              <w:rPr>
                <w:rFonts w:hint="default" w:ascii="仿宋_GB2312" w:hAnsi="仿宋_GB2312" w:eastAsia="仿宋_GB2312" w:cs="仿宋_GB2312"/>
                <w:sz w:val="24"/>
                <w:lang w:eastAsia="zh-CN"/>
              </w:rPr>
              <w:t>、</w:t>
            </w:r>
            <w:r>
              <w:rPr>
                <w:rFonts w:hint="default" w:ascii="仿宋_GB2312" w:hAnsi="仿宋_GB2312" w:eastAsia="仿宋_GB2312" w:cs="仿宋_GB2312"/>
                <w:sz w:val="24"/>
                <w:lang w:val="en-US" w:eastAsia="zh-CN"/>
              </w:rPr>
              <w:t>李蓉</w:t>
            </w:r>
            <w:r>
              <w:rPr>
                <w:rFonts w:hint="default" w:ascii="仿宋_GB2312" w:hAnsi="仿宋_GB2312" w:eastAsia="仿宋_GB2312" w:cs="仿宋_GB2312"/>
                <w:sz w:val="24"/>
                <w:lang w:eastAsia="zh-CN"/>
              </w:rPr>
              <w:t>、</w:t>
            </w:r>
            <w:r>
              <w:rPr>
                <w:rFonts w:hint="default" w:ascii="仿宋_GB2312" w:hAnsi="仿宋_GB2312" w:eastAsia="仿宋_GB2312" w:cs="仿宋_GB2312"/>
                <w:sz w:val="24"/>
                <w:lang w:val="en-US" w:eastAsia="zh-CN"/>
              </w:rPr>
              <w:t>陈可先</w:t>
            </w:r>
            <w:r>
              <w:rPr>
                <w:rFonts w:hint="default" w:ascii="仿宋_GB2312" w:hAnsi="仿宋_GB2312" w:eastAsia="仿宋_GB2312" w:cs="仿宋_GB2312"/>
                <w:sz w:val="24"/>
                <w:lang w:eastAsia="zh-CN"/>
              </w:rPr>
              <w:t>、</w:t>
            </w:r>
            <w:r>
              <w:rPr>
                <w:rFonts w:hint="default" w:ascii="仿宋_GB2312" w:hAnsi="仿宋_GB2312" w:eastAsia="仿宋_GB2312" w:cs="仿宋_GB2312"/>
                <w:sz w:val="24"/>
                <w:lang w:val="en-US" w:eastAsia="zh-CN"/>
              </w:rPr>
              <w:t>陈宜治</w:t>
            </w:r>
            <w:r>
              <w:rPr>
                <w:rFonts w:hint="default" w:ascii="仿宋_GB2312" w:hAnsi="仿宋_GB2312" w:eastAsia="仿宋_GB2312" w:cs="仿宋_GB2312"/>
                <w:sz w:val="24"/>
                <w:lang w:eastAsia="zh-CN"/>
              </w:rPr>
              <w:t>、</w:t>
            </w:r>
            <w:r>
              <w:rPr>
                <w:rFonts w:hint="default" w:ascii="仿宋_GB2312" w:hAnsi="仿宋_GB2312" w:eastAsia="仿宋_GB2312" w:cs="仿宋_GB2312"/>
                <w:sz w:val="24"/>
                <w:lang w:val="en-US" w:eastAsia="zh-CN"/>
              </w:rPr>
              <w:t>陈斌</w:t>
            </w:r>
            <w:r>
              <w:rPr>
                <w:rFonts w:hint="default" w:ascii="仿宋_GB2312" w:hAnsi="仿宋_GB2312" w:eastAsia="仿宋_GB2312" w:cs="仿宋_GB2312"/>
                <w:sz w:val="24"/>
                <w:lang w:eastAsia="zh-CN"/>
              </w:rPr>
              <w:t>、</w:t>
            </w:r>
            <w:r>
              <w:rPr>
                <w:rFonts w:hint="default" w:ascii="仿宋_GB2312" w:hAnsi="仿宋_GB2312" w:eastAsia="仿宋_GB2312" w:cs="仿宋_GB2312"/>
                <w:sz w:val="24"/>
                <w:lang w:val="en-US" w:eastAsia="zh-CN"/>
              </w:rPr>
              <w:t>邵俊</w:t>
            </w:r>
            <w:r>
              <w:rPr>
                <w:rFonts w:hint="default" w:ascii="仿宋_GB2312" w:hAnsi="仿宋_GB2312" w:eastAsia="仿宋_GB2312" w:cs="仿宋_GB2312"/>
                <w:sz w:val="24"/>
                <w:lang w:eastAsia="zh-CN"/>
              </w:rPr>
              <w:t>、</w:t>
            </w:r>
            <w:r>
              <w:rPr>
                <w:rFonts w:hint="default" w:ascii="仿宋_GB2312" w:hAnsi="仿宋_GB2312" w:eastAsia="仿宋_GB2312" w:cs="仿宋_GB2312"/>
                <w:sz w:val="24"/>
                <w:lang w:val="en-US" w:eastAsia="zh-CN"/>
              </w:rPr>
              <w:t>周德</w:t>
            </w:r>
            <w:r>
              <w:rPr>
                <w:rFonts w:hint="default" w:ascii="仿宋_GB2312" w:hAnsi="仿宋_GB2312" w:eastAsia="仿宋_GB2312" w:cs="仿宋_GB2312"/>
                <w:sz w:val="24"/>
                <w:lang w:eastAsia="zh-CN"/>
              </w:rPr>
              <w:t>、</w:t>
            </w:r>
            <w:r>
              <w:rPr>
                <w:rFonts w:hint="default" w:ascii="仿宋_GB2312" w:hAnsi="仿宋_GB2312" w:eastAsia="仿宋_GB2312" w:cs="仿宋_GB2312"/>
                <w:sz w:val="24"/>
                <w:lang w:val="en-US" w:eastAsia="zh-CN"/>
              </w:rPr>
              <w:t>董雪梅</w:t>
            </w:r>
            <w:r>
              <w:rPr>
                <w:rFonts w:hint="default" w:ascii="仿宋_GB2312" w:hAnsi="仿宋_GB2312" w:eastAsia="仿宋_GB2312" w:cs="仿宋_GB2312"/>
                <w:sz w:val="24"/>
                <w:lang w:eastAsia="zh-CN"/>
              </w:rPr>
              <w:t>、</w:t>
            </w:r>
            <w:r>
              <w:rPr>
                <w:rFonts w:hint="default" w:ascii="仿宋_GB2312" w:hAnsi="仿宋_GB2312" w:eastAsia="仿宋_GB2312" w:cs="仿宋_GB2312"/>
                <w:sz w:val="24"/>
                <w:lang w:val="en-US" w:eastAsia="zh-CN"/>
              </w:rPr>
              <w:t>谢诗蕾</w:t>
            </w:r>
            <w:r>
              <w:rPr>
                <w:rFonts w:hint="eastAsia" w:ascii="仿宋_GB2312" w:hAnsi="仿宋_GB2312" w:eastAsia="仿宋_GB2312" w:cs="仿宋_GB2312"/>
                <w:sz w:val="24"/>
                <w:lang w:val="en-US" w:eastAsia="zh-CN"/>
              </w:rPr>
              <w:t>（校优秀教师）</w:t>
            </w:r>
          </w:p>
          <w:p>
            <w:pPr>
              <w:keepNext w:val="0"/>
              <w:keepLines w:val="0"/>
              <w:pageBreakBefore w:val="0"/>
              <w:widowControl w:val="0"/>
              <w:kinsoku/>
              <w:wordWrap/>
              <w:overflowPunct/>
              <w:topLinePunct w:val="0"/>
              <w:autoSpaceDE/>
              <w:autoSpaceDN/>
              <w:bidi w:val="0"/>
              <w:adjustRightInd/>
              <w:snapToGrid/>
              <w:spacing w:line="360" w:lineRule="exact"/>
              <w:ind w:firstLine="0"/>
              <w:jc w:val="both"/>
              <w:textAlignment w:val="auto"/>
              <w:rPr>
                <w:szCs w:val="21"/>
              </w:rPr>
            </w:pPr>
            <w:r>
              <w:rPr>
                <w:rFonts w:hint="default" w:ascii="仿宋_GB2312" w:hAnsi="仿宋_GB2312" w:eastAsia="仿宋_GB2312" w:cs="仿宋_GB2312"/>
                <w:sz w:val="24"/>
                <w:lang w:val="en-US" w:eastAsia="zh-CN"/>
              </w:rPr>
              <w:t>王萧、方惠军、许郑晗、来征帆、林晓莹、周莹莹、周益、楼奇</w:t>
            </w:r>
            <w:r>
              <w:rPr>
                <w:rFonts w:hint="eastAsia" w:ascii="仿宋_GB2312" w:hAnsi="仿宋_GB2312" w:eastAsia="仿宋_GB2312" w:cs="仿宋_GB2312"/>
                <w:sz w:val="24"/>
                <w:lang w:val="en-US" w:eastAsia="zh-CN"/>
              </w:rPr>
              <w:t>（校优秀教育工作者）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8" w:hRule="atLeast"/>
        </w:trPr>
        <w:tc>
          <w:tcPr>
            <w:tcW w:w="2030"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教学、教育工作满30年</w:t>
            </w:r>
          </w:p>
        </w:tc>
        <w:tc>
          <w:tcPr>
            <w:tcW w:w="2166"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202</w:t>
            </w:r>
            <w:r>
              <w:rPr>
                <w:rFonts w:hint="eastAsia" w:ascii="仿宋_GB2312" w:hAnsi="仿宋_GB2312" w:eastAsia="仿宋_GB2312" w:cs="仿宋_GB2312"/>
                <w:sz w:val="24"/>
                <w:lang w:val="en-US" w:eastAsia="zh-CN"/>
              </w:rPr>
              <w:t>4</w:t>
            </w:r>
            <w:r>
              <w:rPr>
                <w:rFonts w:hint="eastAsia" w:ascii="仿宋_GB2312" w:hAnsi="仿宋_GB2312" w:eastAsia="仿宋_GB2312" w:cs="仿宋_GB2312"/>
                <w:sz w:val="24"/>
              </w:rPr>
              <w:t>年</w:t>
            </w:r>
            <w:r>
              <w:rPr>
                <w:rFonts w:hint="eastAsia" w:ascii="仿宋_GB2312" w:hAnsi="仿宋_GB2312" w:eastAsia="仿宋_GB2312" w:cs="仿宋_GB2312"/>
                <w:sz w:val="24"/>
                <w:lang w:val="en-US" w:eastAsia="zh-CN"/>
              </w:rPr>
              <w:t>4</w:t>
            </w:r>
            <w:r>
              <w:rPr>
                <w:rFonts w:hint="eastAsia" w:ascii="仿宋_GB2312" w:hAnsi="仿宋_GB2312" w:eastAsia="仿宋_GB2312" w:cs="仿宋_GB2312"/>
                <w:sz w:val="24"/>
              </w:rPr>
              <w:t>月</w:t>
            </w:r>
            <w:r>
              <w:rPr>
                <w:rFonts w:hint="eastAsia" w:ascii="仿宋_GB2312" w:hAnsi="仿宋_GB2312" w:eastAsia="仿宋_GB2312" w:cs="仿宋_GB2312"/>
                <w:sz w:val="24"/>
                <w:lang w:val="en-US" w:eastAsia="zh-CN"/>
              </w:rPr>
              <w:t>28</w:t>
            </w:r>
            <w:r>
              <w:rPr>
                <w:rFonts w:hint="eastAsia" w:ascii="仿宋_GB2312" w:hAnsi="仿宋_GB2312" w:eastAsia="仿宋_GB2312" w:cs="仿宋_GB2312"/>
                <w:sz w:val="24"/>
              </w:rPr>
              <w:t>日</w:t>
            </w:r>
          </w:p>
        </w:tc>
        <w:tc>
          <w:tcPr>
            <w:tcW w:w="2169"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202</w:t>
            </w:r>
            <w:r>
              <w:rPr>
                <w:rFonts w:hint="eastAsia" w:ascii="仿宋_GB2312" w:hAnsi="仿宋_GB2312" w:eastAsia="仿宋_GB2312" w:cs="仿宋_GB2312"/>
                <w:sz w:val="24"/>
                <w:lang w:val="en-US" w:eastAsia="zh-CN"/>
              </w:rPr>
              <w:t>4</w:t>
            </w:r>
            <w:r>
              <w:rPr>
                <w:rFonts w:hint="eastAsia" w:ascii="仿宋_GB2312" w:hAnsi="仿宋_GB2312" w:eastAsia="仿宋_GB2312" w:cs="仿宋_GB2312"/>
                <w:sz w:val="24"/>
              </w:rPr>
              <w:t>年6月</w:t>
            </w:r>
            <w:r>
              <w:rPr>
                <w:rFonts w:hint="eastAsia" w:ascii="仿宋_GB2312" w:hAnsi="仿宋_GB2312" w:eastAsia="仿宋_GB2312" w:cs="仿宋_GB2312"/>
                <w:sz w:val="24"/>
                <w:lang w:val="en-US" w:eastAsia="zh-CN"/>
              </w:rPr>
              <w:t>19</w:t>
            </w:r>
            <w:r>
              <w:rPr>
                <w:rFonts w:hint="eastAsia" w:ascii="仿宋_GB2312" w:hAnsi="仿宋_GB2312" w:eastAsia="仿宋_GB2312" w:cs="仿宋_GB2312"/>
                <w:sz w:val="24"/>
              </w:rPr>
              <w:t>日</w:t>
            </w:r>
          </w:p>
        </w:tc>
        <w:tc>
          <w:tcPr>
            <w:tcW w:w="2611"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default" w:ascii="仿宋_GB2312" w:hAnsi="仿宋_GB2312" w:eastAsia="仿宋_GB2312" w:cs="仿宋_GB2312"/>
                <w:sz w:val="24"/>
                <w:lang w:val="en-US" w:eastAsia="zh-CN"/>
              </w:rPr>
            </w:pPr>
            <w:r>
              <w:rPr>
                <w:rFonts w:hint="default" w:ascii="仿宋_GB2312" w:hAnsi="仿宋_GB2312" w:eastAsia="仿宋_GB2312" w:cs="仿宋_GB2312"/>
                <w:sz w:val="24"/>
                <w:lang w:val="en-US" w:eastAsia="zh-CN"/>
              </w:rPr>
              <w:t>石敏敏、朱孟虎、朱朝晖、 沈东升、沈建国、沈铁鸣、张利、张爱军、陈枫、陈宜治、陈觉、茅力群、季昀、金锦华、周迈、周晓燕、郑小林、赵卫东、胡国柳、闻亚云、姜波（杭州商学院）、徐先力、徐麟文、章晓乐、蒋旻（管工学院）、蒋灏、傅培华</w:t>
            </w:r>
            <w:r>
              <w:rPr>
                <w:rFonts w:hint="eastAsia" w:ascii="仿宋_GB2312" w:hAnsi="仿宋_GB2312" w:eastAsia="仿宋_GB2312" w:cs="仿宋_GB2312"/>
                <w:sz w:val="24"/>
                <w:lang w:val="en-US" w:eastAsia="zh-CN"/>
              </w:rPr>
              <w:t>（教学工作满三十年）</w:t>
            </w:r>
          </w:p>
          <w:p>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eastAsia" w:ascii="仿宋_GB2312" w:hAnsi="仿宋_GB2312" w:eastAsia="仿宋_GB2312" w:cs="仿宋_GB2312"/>
                <w:sz w:val="24"/>
              </w:rPr>
            </w:pPr>
            <w:r>
              <w:rPr>
                <w:rFonts w:hint="default" w:ascii="仿宋_GB2312" w:hAnsi="仿宋_GB2312" w:eastAsia="仿宋_GB2312" w:cs="仿宋_GB2312"/>
                <w:sz w:val="24"/>
                <w:lang w:val="en-US" w:eastAsia="zh-CN"/>
              </w:rPr>
              <w:t>叶彦莹、田中初、许育民、许剑良、陈春萍、周叶芹、周玲、徐丛丛、徐俊、鲍伟</w:t>
            </w:r>
            <w:r>
              <w:rPr>
                <w:rFonts w:hint="eastAsia" w:ascii="仿宋_GB2312" w:hAnsi="仿宋_GB2312" w:eastAsia="仿宋_GB2312" w:cs="仿宋_GB2312"/>
                <w:sz w:val="24"/>
                <w:lang w:val="en-US" w:eastAsia="zh-CN"/>
              </w:rPr>
              <w:t>（教育管理工作满三十年）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4" w:hRule="atLeast"/>
        </w:trPr>
        <w:tc>
          <w:tcPr>
            <w:tcW w:w="2030"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eastAsia" w:ascii="仿宋_GB2312" w:hAnsi="仿宋_GB2312" w:eastAsia="仿宋_GB2312" w:cs="仿宋_GB2312"/>
                <w:sz w:val="24"/>
              </w:rPr>
            </w:pPr>
            <w:r>
              <w:rPr>
                <w:rFonts w:hint="default" w:ascii="仿宋_GB2312" w:hAnsi="仿宋_GB2312" w:eastAsia="仿宋_GB2312" w:cs="仿宋_GB2312"/>
                <w:sz w:val="24"/>
              </w:rPr>
              <w:t>全国教育系统先进集体和先进个人</w:t>
            </w:r>
          </w:p>
        </w:tc>
        <w:tc>
          <w:tcPr>
            <w:tcW w:w="2166"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根据遴选条件，定向推荐。</w:t>
            </w:r>
          </w:p>
        </w:tc>
        <w:tc>
          <w:tcPr>
            <w:tcW w:w="2169"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202</w:t>
            </w:r>
            <w:r>
              <w:rPr>
                <w:rFonts w:hint="eastAsia" w:ascii="仿宋_GB2312" w:hAnsi="仿宋_GB2312" w:eastAsia="仿宋_GB2312" w:cs="仿宋_GB2312"/>
                <w:sz w:val="24"/>
                <w:lang w:val="en-US" w:eastAsia="zh-CN"/>
              </w:rPr>
              <w:t>4</w:t>
            </w:r>
            <w:r>
              <w:rPr>
                <w:rFonts w:hint="eastAsia" w:ascii="仿宋_GB2312" w:hAnsi="仿宋_GB2312" w:eastAsia="仿宋_GB2312" w:cs="仿宋_GB2312"/>
                <w:sz w:val="24"/>
              </w:rPr>
              <w:t>年</w:t>
            </w:r>
            <w:r>
              <w:rPr>
                <w:rFonts w:hint="eastAsia" w:ascii="仿宋_GB2312" w:hAnsi="仿宋_GB2312" w:eastAsia="仿宋_GB2312" w:cs="仿宋_GB2312"/>
                <w:sz w:val="24"/>
                <w:lang w:val="en-US" w:eastAsia="zh-CN"/>
              </w:rPr>
              <w:t>6</w:t>
            </w:r>
            <w:r>
              <w:rPr>
                <w:rFonts w:hint="eastAsia" w:ascii="仿宋_GB2312" w:hAnsi="仿宋_GB2312" w:eastAsia="仿宋_GB2312" w:cs="仿宋_GB2312"/>
                <w:sz w:val="24"/>
              </w:rPr>
              <w:t>月</w:t>
            </w:r>
            <w:r>
              <w:rPr>
                <w:rFonts w:hint="eastAsia" w:ascii="仿宋_GB2312" w:hAnsi="仿宋_GB2312" w:eastAsia="仿宋_GB2312" w:cs="仿宋_GB2312"/>
                <w:sz w:val="24"/>
                <w:lang w:val="en-US" w:eastAsia="zh-CN"/>
              </w:rPr>
              <w:t>19</w:t>
            </w:r>
            <w:r>
              <w:rPr>
                <w:rFonts w:hint="eastAsia" w:ascii="仿宋_GB2312" w:hAnsi="仿宋_GB2312" w:eastAsia="仿宋_GB2312" w:cs="仿宋_GB2312"/>
                <w:sz w:val="24"/>
              </w:rPr>
              <w:t>日</w:t>
            </w:r>
          </w:p>
        </w:tc>
        <w:tc>
          <w:tcPr>
            <w:tcW w:w="2611"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工商管理学院（MBA学院）参评全国教育系统先进集体、陆丽青参评全国模范教师、张燕妮参评全国教育系统先进工作者。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atLeast"/>
        </w:trPr>
        <w:tc>
          <w:tcPr>
            <w:tcW w:w="2030"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eastAsia" w:ascii="仿宋_GB2312" w:hAnsi="仿宋_GB2312" w:eastAsia="仿宋_GB2312" w:cs="仿宋_GB2312"/>
                <w:sz w:val="24"/>
              </w:rPr>
            </w:pPr>
            <w:r>
              <w:rPr>
                <w:rFonts w:hint="default" w:ascii="仿宋_GB2312" w:hAnsi="仿宋_GB2312" w:eastAsia="仿宋_GB2312" w:cs="仿宋_GB2312"/>
                <w:sz w:val="24"/>
              </w:rPr>
              <w:t>全国最美教师候选人</w:t>
            </w:r>
          </w:p>
        </w:tc>
        <w:tc>
          <w:tcPr>
            <w:tcW w:w="2166"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202</w:t>
            </w:r>
            <w:r>
              <w:rPr>
                <w:rFonts w:hint="eastAsia" w:ascii="仿宋_GB2312" w:hAnsi="仿宋_GB2312" w:eastAsia="仿宋_GB2312" w:cs="仿宋_GB2312"/>
                <w:sz w:val="24"/>
                <w:lang w:val="en-US" w:eastAsia="zh-CN"/>
              </w:rPr>
              <w:t>4</w:t>
            </w:r>
            <w:r>
              <w:rPr>
                <w:rFonts w:hint="eastAsia" w:ascii="仿宋_GB2312" w:hAnsi="仿宋_GB2312" w:eastAsia="仿宋_GB2312" w:cs="仿宋_GB2312"/>
                <w:sz w:val="24"/>
              </w:rPr>
              <w:t>年</w:t>
            </w:r>
            <w:r>
              <w:rPr>
                <w:rFonts w:hint="eastAsia" w:ascii="仿宋_GB2312" w:hAnsi="仿宋_GB2312" w:eastAsia="仿宋_GB2312" w:cs="仿宋_GB2312"/>
                <w:sz w:val="24"/>
                <w:lang w:val="en-US" w:eastAsia="zh-CN"/>
              </w:rPr>
              <w:t>6</w:t>
            </w:r>
            <w:r>
              <w:rPr>
                <w:rFonts w:hint="eastAsia" w:ascii="仿宋_GB2312" w:hAnsi="仿宋_GB2312" w:eastAsia="仿宋_GB2312" w:cs="仿宋_GB2312"/>
                <w:sz w:val="24"/>
              </w:rPr>
              <w:t>月1</w:t>
            </w:r>
            <w:r>
              <w:rPr>
                <w:rFonts w:hint="eastAsia" w:ascii="仿宋_GB2312" w:hAnsi="仿宋_GB2312" w:eastAsia="仿宋_GB2312" w:cs="仿宋_GB2312"/>
                <w:sz w:val="24"/>
                <w:lang w:val="en-US" w:eastAsia="zh-CN"/>
              </w:rPr>
              <w:t>8</w:t>
            </w:r>
            <w:r>
              <w:rPr>
                <w:rFonts w:hint="eastAsia" w:ascii="仿宋_GB2312" w:hAnsi="仿宋_GB2312" w:eastAsia="仿宋_GB2312" w:cs="仿宋_GB2312"/>
                <w:sz w:val="24"/>
              </w:rPr>
              <w:t>日</w:t>
            </w:r>
          </w:p>
        </w:tc>
        <w:tc>
          <w:tcPr>
            <w:tcW w:w="2169"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202</w:t>
            </w:r>
            <w:r>
              <w:rPr>
                <w:rFonts w:hint="eastAsia" w:ascii="仿宋_GB2312" w:hAnsi="仿宋_GB2312" w:eastAsia="仿宋_GB2312" w:cs="仿宋_GB2312"/>
                <w:sz w:val="24"/>
                <w:lang w:val="en-US" w:eastAsia="zh-CN"/>
              </w:rPr>
              <w:t>4</w:t>
            </w:r>
            <w:r>
              <w:rPr>
                <w:rFonts w:hint="eastAsia" w:ascii="仿宋_GB2312" w:hAnsi="仿宋_GB2312" w:eastAsia="仿宋_GB2312" w:cs="仿宋_GB2312"/>
                <w:sz w:val="24"/>
              </w:rPr>
              <w:t>年</w:t>
            </w:r>
            <w:r>
              <w:rPr>
                <w:rFonts w:hint="eastAsia" w:ascii="仿宋_GB2312" w:hAnsi="仿宋_GB2312" w:eastAsia="仿宋_GB2312" w:cs="仿宋_GB2312"/>
                <w:sz w:val="24"/>
                <w:lang w:val="en-US" w:eastAsia="zh-CN"/>
              </w:rPr>
              <w:t>6</w:t>
            </w:r>
            <w:r>
              <w:rPr>
                <w:rFonts w:hint="eastAsia" w:ascii="仿宋_GB2312" w:hAnsi="仿宋_GB2312" w:eastAsia="仿宋_GB2312" w:cs="仿宋_GB2312"/>
                <w:sz w:val="24"/>
              </w:rPr>
              <w:t>月</w:t>
            </w:r>
            <w:r>
              <w:rPr>
                <w:rFonts w:hint="eastAsia" w:ascii="仿宋_GB2312" w:hAnsi="仿宋_GB2312" w:eastAsia="仿宋_GB2312" w:cs="仿宋_GB2312"/>
                <w:sz w:val="24"/>
                <w:lang w:val="en-US" w:eastAsia="zh-CN"/>
              </w:rPr>
              <w:t>21</w:t>
            </w:r>
            <w:r>
              <w:rPr>
                <w:rFonts w:hint="eastAsia" w:ascii="仿宋_GB2312" w:hAnsi="仿宋_GB2312" w:eastAsia="仿宋_GB2312" w:cs="仿宋_GB2312"/>
                <w:sz w:val="24"/>
              </w:rPr>
              <w:t>日</w:t>
            </w:r>
          </w:p>
        </w:tc>
        <w:tc>
          <w:tcPr>
            <w:tcW w:w="2611"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李梦云参评。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8" w:hRule="atLeast"/>
        </w:trPr>
        <w:tc>
          <w:tcPr>
            <w:tcW w:w="2030"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202</w:t>
            </w:r>
            <w:r>
              <w:rPr>
                <w:rFonts w:hint="eastAsia" w:ascii="仿宋_GB2312" w:hAnsi="仿宋_GB2312" w:eastAsia="仿宋_GB2312" w:cs="仿宋_GB2312"/>
                <w:sz w:val="24"/>
                <w:lang w:val="en-US" w:eastAsia="zh-CN"/>
              </w:rPr>
              <w:t>4</w:t>
            </w:r>
            <w:r>
              <w:rPr>
                <w:rFonts w:hint="eastAsia" w:ascii="仿宋_GB2312" w:hAnsi="仿宋_GB2312" w:eastAsia="仿宋_GB2312" w:cs="仿宋_GB2312"/>
                <w:sz w:val="24"/>
              </w:rPr>
              <w:t>年国家公派出国留学项目</w:t>
            </w:r>
          </w:p>
        </w:tc>
        <w:tc>
          <w:tcPr>
            <w:tcW w:w="2166"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202</w:t>
            </w:r>
            <w:r>
              <w:rPr>
                <w:rFonts w:hint="eastAsia" w:ascii="仿宋_GB2312" w:hAnsi="仿宋_GB2312" w:eastAsia="仿宋_GB2312" w:cs="仿宋_GB2312"/>
                <w:sz w:val="24"/>
                <w:lang w:val="en-US" w:eastAsia="zh-CN"/>
              </w:rPr>
              <w:t>4</w:t>
            </w:r>
            <w:r>
              <w:rPr>
                <w:rFonts w:hint="eastAsia" w:ascii="仿宋_GB2312" w:hAnsi="仿宋_GB2312" w:eastAsia="仿宋_GB2312" w:cs="仿宋_GB2312"/>
                <w:sz w:val="24"/>
              </w:rPr>
              <w:t>年</w:t>
            </w:r>
            <w:r>
              <w:rPr>
                <w:rFonts w:hint="eastAsia" w:ascii="仿宋_GB2312" w:hAnsi="仿宋_GB2312" w:eastAsia="仿宋_GB2312" w:cs="仿宋_GB2312"/>
                <w:sz w:val="24"/>
                <w:lang w:val="en-US" w:eastAsia="zh-CN"/>
              </w:rPr>
              <w:t>3</w:t>
            </w:r>
            <w:r>
              <w:rPr>
                <w:rFonts w:hint="eastAsia" w:ascii="仿宋_GB2312" w:hAnsi="仿宋_GB2312" w:eastAsia="仿宋_GB2312" w:cs="仿宋_GB2312"/>
                <w:sz w:val="24"/>
              </w:rPr>
              <w:t>月1日</w:t>
            </w:r>
          </w:p>
        </w:tc>
        <w:tc>
          <w:tcPr>
            <w:tcW w:w="2169"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直接系统上报，国家留学基金委选拔</w:t>
            </w:r>
          </w:p>
        </w:tc>
        <w:tc>
          <w:tcPr>
            <w:tcW w:w="2611"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李建强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8" w:hRule="atLeast"/>
        </w:trPr>
        <w:tc>
          <w:tcPr>
            <w:tcW w:w="2030"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202</w:t>
            </w:r>
            <w:r>
              <w:rPr>
                <w:rFonts w:hint="eastAsia" w:ascii="仿宋_GB2312" w:hAnsi="仿宋_GB2312" w:eastAsia="仿宋_GB2312" w:cs="仿宋_GB2312"/>
                <w:sz w:val="24"/>
                <w:lang w:val="en-US" w:eastAsia="zh-CN"/>
              </w:rPr>
              <w:t>4</w:t>
            </w:r>
            <w:r>
              <w:rPr>
                <w:rFonts w:hint="eastAsia" w:ascii="仿宋_GB2312" w:hAnsi="仿宋_GB2312" w:eastAsia="仿宋_GB2312" w:cs="仿宋_GB2312"/>
                <w:sz w:val="24"/>
              </w:rPr>
              <w:t>年地方合作项目地方创新子项目</w:t>
            </w:r>
          </w:p>
        </w:tc>
        <w:tc>
          <w:tcPr>
            <w:tcW w:w="2166"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202</w:t>
            </w:r>
            <w:r>
              <w:rPr>
                <w:rFonts w:hint="eastAsia" w:ascii="仿宋_GB2312" w:hAnsi="仿宋_GB2312" w:eastAsia="仿宋_GB2312" w:cs="仿宋_GB2312"/>
                <w:sz w:val="24"/>
                <w:lang w:val="en-US" w:eastAsia="zh-CN"/>
              </w:rPr>
              <w:t>4</w:t>
            </w:r>
            <w:r>
              <w:rPr>
                <w:rFonts w:hint="eastAsia" w:ascii="仿宋_GB2312" w:hAnsi="仿宋_GB2312" w:eastAsia="仿宋_GB2312" w:cs="仿宋_GB2312"/>
                <w:sz w:val="24"/>
              </w:rPr>
              <w:t>年4月</w:t>
            </w:r>
            <w:r>
              <w:rPr>
                <w:rFonts w:hint="eastAsia" w:ascii="仿宋_GB2312" w:hAnsi="仿宋_GB2312" w:eastAsia="仿宋_GB2312" w:cs="仿宋_GB2312"/>
                <w:sz w:val="24"/>
                <w:lang w:val="en-US" w:eastAsia="zh-CN"/>
              </w:rPr>
              <w:t>23</w:t>
            </w:r>
            <w:r>
              <w:rPr>
                <w:rFonts w:hint="eastAsia" w:ascii="仿宋_GB2312" w:hAnsi="仿宋_GB2312" w:eastAsia="仿宋_GB2312" w:cs="仿宋_GB2312"/>
                <w:sz w:val="24"/>
              </w:rPr>
              <w:t>日</w:t>
            </w:r>
          </w:p>
        </w:tc>
        <w:tc>
          <w:tcPr>
            <w:tcW w:w="2169"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直接系统上报，国家留学基金委选拔</w:t>
            </w:r>
          </w:p>
        </w:tc>
        <w:tc>
          <w:tcPr>
            <w:tcW w:w="2611"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eastAsia="zh-CN"/>
              </w:rPr>
              <w:t>刘东升、廖长庚、邹园萍、甘志刚、包翠竹、杨玥熹、毛岳忠、郑振霄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0" w:hRule="atLeast"/>
        </w:trPr>
        <w:tc>
          <w:tcPr>
            <w:tcW w:w="2030"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202</w:t>
            </w:r>
            <w:r>
              <w:rPr>
                <w:rFonts w:hint="eastAsia" w:ascii="仿宋_GB2312" w:hAnsi="仿宋_GB2312" w:eastAsia="仿宋_GB2312" w:cs="仿宋_GB2312"/>
                <w:sz w:val="24"/>
                <w:lang w:val="en-US" w:eastAsia="zh-CN"/>
              </w:rPr>
              <w:t>4</w:t>
            </w:r>
            <w:r>
              <w:rPr>
                <w:rFonts w:hint="eastAsia" w:ascii="仿宋_GB2312" w:hAnsi="仿宋_GB2312" w:eastAsia="仿宋_GB2312" w:cs="仿宋_GB2312"/>
                <w:sz w:val="24"/>
              </w:rPr>
              <w:t>年青年骨干教师出国研修项目</w:t>
            </w:r>
          </w:p>
        </w:tc>
        <w:tc>
          <w:tcPr>
            <w:tcW w:w="2166"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202</w:t>
            </w:r>
            <w:r>
              <w:rPr>
                <w:rFonts w:hint="eastAsia" w:ascii="仿宋_GB2312" w:hAnsi="仿宋_GB2312" w:eastAsia="仿宋_GB2312" w:cs="仿宋_GB2312"/>
                <w:sz w:val="24"/>
                <w:lang w:val="en-US" w:eastAsia="zh-CN"/>
              </w:rPr>
              <w:t>4</w:t>
            </w:r>
            <w:r>
              <w:rPr>
                <w:rFonts w:hint="eastAsia" w:ascii="仿宋_GB2312" w:hAnsi="仿宋_GB2312" w:eastAsia="仿宋_GB2312" w:cs="仿宋_GB2312"/>
                <w:sz w:val="24"/>
              </w:rPr>
              <w:t>年</w:t>
            </w:r>
            <w:r>
              <w:rPr>
                <w:rFonts w:hint="eastAsia" w:ascii="仿宋_GB2312" w:hAnsi="仿宋_GB2312" w:eastAsia="仿宋_GB2312" w:cs="仿宋_GB2312"/>
                <w:sz w:val="24"/>
                <w:lang w:val="en-US" w:eastAsia="zh-CN"/>
              </w:rPr>
              <w:t>6</w:t>
            </w:r>
            <w:r>
              <w:rPr>
                <w:rFonts w:hint="eastAsia" w:ascii="仿宋_GB2312" w:hAnsi="仿宋_GB2312" w:eastAsia="仿宋_GB2312" w:cs="仿宋_GB2312"/>
                <w:sz w:val="24"/>
              </w:rPr>
              <w:t>月</w:t>
            </w:r>
            <w:r>
              <w:rPr>
                <w:rFonts w:hint="eastAsia" w:ascii="仿宋_GB2312" w:hAnsi="仿宋_GB2312" w:eastAsia="仿宋_GB2312" w:cs="仿宋_GB2312"/>
                <w:sz w:val="24"/>
                <w:lang w:val="en-US" w:eastAsia="zh-CN"/>
              </w:rPr>
              <w:t>7</w:t>
            </w:r>
            <w:r>
              <w:rPr>
                <w:rFonts w:hint="eastAsia" w:ascii="仿宋_GB2312" w:hAnsi="仿宋_GB2312" w:eastAsia="仿宋_GB2312" w:cs="仿宋_GB2312"/>
                <w:sz w:val="24"/>
              </w:rPr>
              <w:t>日</w:t>
            </w:r>
          </w:p>
        </w:tc>
        <w:tc>
          <w:tcPr>
            <w:tcW w:w="2169"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202</w:t>
            </w:r>
            <w:r>
              <w:rPr>
                <w:rFonts w:hint="eastAsia" w:ascii="仿宋_GB2312" w:hAnsi="仿宋_GB2312" w:eastAsia="仿宋_GB2312" w:cs="仿宋_GB2312"/>
                <w:sz w:val="24"/>
                <w:lang w:val="en-US" w:eastAsia="zh-CN"/>
              </w:rPr>
              <w:t>4</w:t>
            </w:r>
            <w:r>
              <w:rPr>
                <w:rFonts w:hint="eastAsia" w:ascii="仿宋_GB2312" w:hAnsi="仿宋_GB2312" w:eastAsia="仿宋_GB2312" w:cs="仿宋_GB2312"/>
                <w:sz w:val="24"/>
              </w:rPr>
              <w:t>年</w:t>
            </w:r>
            <w:r>
              <w:rPr>
                <w:rFonts w:hint="eastAsia" w:ascii="仿宋_GB2312" w:hAnsi="仿宋_GB2312" w:eastAsia="仿宋_GB2312" w:cs="仿宋_GB2312"/>
                <w:sz w:val="24"/>
                <w:lang w:val="en-US" w:eastAsia="zh-CN"/>
              </w:rPr>
              <w:t>8</w:t>
            </w:r>
            <w:r>
              <w:rPr>
                <w:rFonts w:hint="eastAsia" w:ascii="仿宋_GB2312" w:hAnsi="仿宋_GB2312" w:eastAsia="仿宋_GB2312" w:cs="仿宋_GB2312"/>
                <w:sz w:val="24"/>
              </w:rPr>
              <w:t>月1日</w:t>
            </w:r>
          </w:p>
        </w:tc>
        <w:tc>
          <w:tcPr>
            <w:tcW w:w="2611"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向剑勤、庄壮、李俭、张雅娟、张璐茜、周德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0" w:hRule="atLeast"/>
        </w:trPr>
        <w:tc>
          <w:tcPr>
            <w:tcW w:w="203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eastAsia" w:ascii="仿宋_GB2312" w:hAnsi="仿宋_GB2312" w:eastAsia="仿宋_GB2312" w:cs="仿宋_GB2312"/>
                <w:sz w:val="24"/>
                <w:lang w:val="en-US" w:eastAsia="zh-CN"/>
              </w:rPr>
            </w:pPr>
            <w:bookmarkStart w:id="21" w:name="_Toc5089730"/>
            <w:r>
              <w:rPr>
                <w:rFonts w:hint="default" w:ascii="仿宋_GB2312" w:hAnsi="仿宋_GB2312" w:eastAsia="仿宋_GB2312" w:cs="仿宋_GB2312"/>
                <w:sz w:val="24"/>
                <w:lang w:val="en-US" w:eastAsia="zh-CN"/>
              </w:rPr>
              <w:t>2023年省</w:t>
            </w:r>
            <w:r>
              <w:rPr>
                <w:rFonts w:hint="eastAsia" w:ascii="仿宋_GB2312" w:hAnsi="仿宋_GB2312" w:eastAsia="仿宋_GB2312" w:cs="仿宋_GB2312"/>
                <w:sz w:val="24"/>
              </w:rPr>
              <w:t>高层次人才特殊支持计划</w:t>
            </w:r>
            <w:r>
              <w:rPr>
                <w:rFonts w:hint="eastAsia" w:ascii="仿宋_GB2312" w:hAnsi="仿宋_GB2312" w:eastAsia="仿宋_GB2312" w:cs="仿宋_GB2312"/>
                <w:sz w:val="24"/>
                <w:lang w:val="en-US" w:eastAsia="zh-CN"/>
              </w:rPr>
              <w:t>教学名师、教学英才</w:t>
            </w:r>
            <w:r>
              <w:rPr>
                <w:rFonts w:hint="eastAsia" w:ascii="仿宋_GB2312" w:hAnsi="仿宋_GB2312" w:eastAsia="仿宋_GB2312" w:cs="仿宋_GB2312"/>
                <w:sz w:val="24"/>
              </w:rPr>
              <w:t>项目</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lang w:val="en-US" w:eastAsia="zh-CN"/>
              </w:rPr>
              <w:t>教务处实施</w:t>
            </w:r>
            <w:r>
              <w:rPr>
                <w:rFonts w:hint="eastAsia" w:ascii="仿宋_GB2312" w:hAnsi="仿宋_GB2312" w:eastAsia="仿宋_GB2312" w:cs="仿宋_GB2312"/>
                <w:sz w:val="24"/>
                <w:lang w:eastAsia="zh-CN"/>
              </w:rPr>
              <w:t>）</w:t>
            </w:r>
          </w:p>
        </w:tc>
        <w:tc>
          <w:tcPr>
            <w:tcW w:w="216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2023年10月19日</w:t>
            </w:r>
          </w:p>
        </w:tc>
        <w:tc>
          <w:tcPr>
            <w:tcW w:w="216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2023年10月25日</w:t>
            </w:r>
          </w:p>
        </w:tc>
        <w:tc>
          <w:tcPr>
            <w:tcW w:w="261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教学名师：向荣</w:t>
            </w:r>
          </w:p>
          <w:p>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教学英才：岑杰</w:t>
            </w:r>
          </w:p>
          <w:p>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（公布时间：2024年3月18日）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0" w:hRule="atLeast"/>
        </w:trPr>
        <w:tc>
          <w:tcPr>
            <w:tcW w:w="203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eastAsia" w:ascii="仿宋_GB2312" w:hAnsi="仿宋_GB2312" w:eastAsia="仿宋_GB2312" w:cs="仿宋_GB2312"/>
                <w:sz w:val="24"/>
                <w:lang w:val="en-US" w:eastAsia="zh-CN"/>
              </w:rPr>
            </w:pPr>
            <w:r>
              <w:rPr>
                <w:rFonts w:hint="default" w:ascii="仿宋_GB2312" w:hAnsi="仿宋_GB2312" w:eastAsia="仿宋_GB2312" w:cs="仿宋_GB2312"/>
                <w:sz w:val="24"/>
                <w:lang w:val="en-US" w:eastAsia="zh-CN"/>
              </w:rPr>
              <w:t>2023年省</w:t>
            </w:r>
            <w:r>
              <w:rPr>
                <w:rFonts w:hint="eastAsia" w:ascii="仿宋_GB2312" w:hAnsi="仿宋_GB2312" w:eastAsia="仿宋_GB2312" w:cs="仿宋_GB2312"/>
                <w:sz w:val="24"/>
              </w:rPr>
              <w:t>高层次人才特殊支持计划</w:t>
            </w:r>
            <w:r>
              <w:rPr>
                <w:rFonts w:hint="eastAsia" w:ascii="仿宋_GB2312" w:hAnsi="仿宋_GB2312" w:eastAsia="仿宋_GB2312" w:cs="仿宋_GB2312"/>
                <w:sz w:val="24"/>
                <w:lang w:val="en-US" w:eastAsia="zh-CN"/>
              </w:rPr>
              <w:t>科技创新</w:t>
            </w:r>
            <w:r>
              <w:rPr>
                <w:rFonts w:hint="eastAsia" w:ascii="仿宋_GB2312" w:hAnsi="仿宋_GB2312" w:eastAsia="仿宋_GB2312" w:cs="仿宋_GB2312"/>
                <w:sz w:val="24"/>
              </w:rPr>
              <w:t>领军人才项目</w:t>
            </w:r>
          </w:p>
        </w:tc>
        <w:tc>
          <w:tcPr>
            <w:tcW w:w="216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2023年10月24日</w:t>
            </w:r>
          </w:p>
        </w:tc>
        <w:tc>
          <w:tcPr>
            <w:tcW w:w="216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2023年10月27日</w:t>
            </w:r>
          </w:p>
        </w:tc>
        <w:tc>
          <w:tcPr>
            <w:tcW w:w="261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省特支计划科技领军人才：李传煌</w:t>
            </w:r>
          </w:p>
          <w:p>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（公布时间：2024年3月18日）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0" w:hRule="atLeast"/>
        </w:trPr>
        <w:tc>
          <w:tcPr>
            <w:tcW w:w="203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eastAsia" w:ascii="仿宋_GB2312" w:hAnsi="仿宋_GB2312" w:eastAsia="仿宋_GB2312" w:cs="仿宋_GB2312"/>
                <w:sz w:val="24"/>
                <w:lang w:val="en-US" w:eastAsia="zh-CN"/>
              </w:rPr>
            </w:pPr>
            <w:r>
              <w:rPr>
                <w:rFonts w:hint="default" w:ascii="仿宋_GB2312" w:hAnsi="仿宋_GB2312" w:eastAsia="仿宋_GB2312" w:cs="仿宋_GB2312"/>
                <w:sz w:val="24"/>
                <w:lang w:val="en-US" w:eastAsia="zh-CN"/>
              </w:rPr>
              <w:t>2023年省</w:t>
            </w:r>
            <w:r>
              <w:rPr>
                <w:rFonts w:hint="eastAsia" w:ascii="仿宋_GB2312" w:hAnsi="仿宋_GB2312" w:eastAsia="仿宋_GB2312" w:cs="仿宋_GB2312"/>
                <w:sz w:val="24"/>
              </w:rPr>
              <w:t>高层次人才特殊支持计划宣传文化领军人才、青年人才项目</w:t>
            </w:r>
          </w:p>
        </w:tc>
        <w:tc>
          <w:tcPr>
            <w:tcW w:w="216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2023年10月24日</w:t>
            </w:r>
          </w:p>
        </w:tc>
        <w:tc>
          <w:tcPr>
            <w:tcW w:w="216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2023年10月27日</w:t>
            </w:r>
          </w:p>
        </w:tc>
        <w:tc>
          <w:tcPr>
            <w:tcW w:w="261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省特支计划宣传文化领军人才：高颖</w:t>
            </w:r>
          </w:p>
          <w:p>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（公布时间：2024年3月18日）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0" w:hRule="atLeast"/>
        </w:trPr>
        <w:tc>
          <w:tcPr>
            <w:tcW w:w="203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eastAsia" w:ascii="仿宋_GB2312" w:hAnsi="仿宋_GB2312" w:eastAsia="仿宋_GB2312" w:cs="仿宋_GB2312"/>
                <w:sz w:val="24"/>
                <w:lang w:val="en-US" w:eastAsia="zh-CN"/>
              </w:rPr>
            </w:pPr>
            <w:r>
              <w:rPr>
                <w:rFonts w:hint="default" w:ascii="仿宋_GB2312" w:hAnsi="仿宋_GB2312" w:eastAsia="仿宋_GB2312" w:cs="仿宋_GB2312"/>
                <w:sz w:val="24"/>
                <w:lang w:val="en-US" w:eastAsia="zh-CN"/>
              </w:rPr>
              <w:t>2023年省高层次人才特殊支持计划青年人才项目（综合类）</w:t>
            </w:r>
          </w:p>
        </w:tc>
        <w:tc>
          <w:tcPr>
            <w:tcW w:w="216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2023年11月09日</w:t>
            </w:r>
          </w:p>
        </w:tc>
        <w:tc>
          <w:tcPr>
            <w:tcW w:w="216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2023年11月10日</w:t>
            </w:r>
          </w:p>
        </w:tc>
        <w:tc>
          <w:tcPr>
            <w:tcW w:w="261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省特支计划</w:t>
            </w:r>
            <w:r>
              <w:rPr>
                <w:rFonts w:hint="eastAsia" w:ascii="仿宋_GB2312" w:hAnsi="仿宋_GB2312" w:eastAsia="仿宋_GB2312" w:cs="仿宋_GB2312"/>
                <w:sz w:val="24"/>
              </w:rPr>
              <w:t>青年人才（综合类）</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lang w:val="en-US" w:eastAsia="zh-CN"/>
              </w:rPr>
              <w:t>董建锋</w:t>
            </w:r>
          </w:p>
          <w:p>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（公布时间：2024年3月18日）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0" w:hRule="atLeast"/>
        </w:trPr>
        <w:tc>
          <w:tcPr>
            <w:tcW w:w="203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2023年省海外引才计划相关人才项目（保密计划，不得挂网通知）</w:t>
            </w:r>
          </w:p>
        </w:tc>
        <w:tc>
          <w:tcPr>
            <w:tcW w:w="216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w:t>
            </w:r>
          </w:p>
        </w:tc>
        <w:tc>
          <w:tcPr>
            <w:tcW w:w="216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w:t>
            </w:r>
          </w:p>
        </w:tc>
        <w:tc>
          <w:tcPr>
            <w:tcW w:w="261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省引计划外国专家：</w:t>
            </w:r>
          </w:p>
          <w:p>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沈国威</w:t>
            </w:r>
          </w:p>
          <w:p>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省引计划青年人才：</w:t>
            </w:r>
          </w:p>
          <w:p>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刘昊玥</w:t>
            </w:r>
            <w:r>
              <w:rPr>
                <w:rFonts w:hint="eastAsia" w:ascii="仿宋_GB2312" w:hAnsi="仿宋_GB2312" w:eastAsia="仿宋_GB2312" w:cs="仿宋_GB2312"/>
                <w:sz w:val="24"/>
                <w:lang w:val="en-US" w:eastAsia="zh-CN"/>
              </w:rPr>
              <w:br w:type="textWrapping"/>
            </w:r>
            <w:r>
              <w:rPr>
                <w:rFonts w:hint="eastAsia" w:ascii="仿宋_GB2312" w:hAnsi="仿宋_GB2312" w:eastAsia="仿宋_GB2312" w:cs="仿宋_GB2312"/>
                <w:sz w:val="24"/>
                <w:lang w:val="en-US" w:eastAsia="zh-CN"/>
              </w:rPr>
              <w:t>（公布时间：2024年3月18日）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0" w:hRule="atLeast"/>
        </w:trPr>
        <w:tc>
          <w:tcPr>
            <w:tcW w:w="203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rPr>
              <w:t>浙江工商大学第七届青年教师教学创新大赛</w:t>
            </w:r>
          </w:p>
        </w:tc>
        <w:tc>
          <w:tcPr>
            <w:tcW w:w="216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rPr>
              <w:t>2024年3月27日</w:t>
            </w:r>
          </w:p>
        </w:tc>
        <w:tc>
          <w:tcPr>
            <w:tcW w:w="216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rPr>
              <w:t>2024年6月19日</w:t>
            </w:r>
          </w:p>
        </w:tc>
        <w:tc>
          <w:tcPr>
            <w:tcW w:w="261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特等奖：王海</w:t>
            </w:r>
          </w:p>
          <w:p>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一等奖：赵李叶、虞春燕、裴雯熠</w:t>
            </w:r>
          </w:p>
          <w:p>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二等奖：包翠竹、朱昊、张小琴、戚圣琦、韩佳润</w:t>
            </w:r>
          </w:p>
          <w:p>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三等奖：王瞻、叶燕华、朱祉璨、项梦婧、姚凯波、侯瑞琪</w:t>
            </w:r>
          </w:p>
          <w:p>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rPr>
              <w:t>鼓励奖：丁预立、王文洁、王真、王倩逸、刘细涓、李祎、张岩冰、张雅斐、杨雪萍、傅恒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0" w:hRule="atLeast"/>
        </w:trPr>
        <w:tc>
          <w:tcPr>
            <w:tcW w:w="203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rPr>
              <w:t>浙江省第四届高校教师教学创新大赛校赛</w:t>
            </w:r>
          </w:p>
        </w:tc>
        <w:tc>
          <w:tcPr>
            <w:tcW w:w="216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rPr>
              <w:t>2023年11月28日</w:t>
            </w:r>
          </w:p>
        </w:tc>
        <w:tc>
          <w:tcPr>
            <w:tcW w:w="216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rPr>
              <w:t>2024年1月12日</w:t>
            </w:r>
          </w:p>
        </w:tc>
        <w:tc>
          <w:tcPr>
            <w:tcW w:w="261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一等奖：田敏、向荣、岑杰、吴欣、祖宇、洪金珠</w:t>
            </w:r>
          </w:p>
          <w:p>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rPr>
              <w:t>二等奖：曲道峰、朱祉璨、朱旭东、朱昊、陈跃文、顾玲艳、栾天虹、裴雯熠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0" w:hRule="atLeast"/>
        </w:trPr>
        <w:tc>
          <w:tcPr>
            <w:tcW w:w="203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rPr>
              <w:t>浙江省第四届高校教师教学创新大赛</w:t>
            </w:r>
          </w:p>
        </w:tc>
        <w:tc>
          <w:tcPr>
            <w:tcW w:w="216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rPr>
              <w:t>2023年11月20日</w:t>
            </w:r>
          </w:p>
        </w:tc>
        <w:tc>
          <w:tcPr>
            <w:tcW w:w="216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rPr>
              <w:t>2024年5月7日</w:t>
            </w:r>
          </w:p>
        </w:tc>
        <w:tc>
          <w:tcPr>
            <w:tcW w:w="261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一等奖;田敏</w:t>
            </w:r>
          </w:p>
          <w:p>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二等奖：岑杰、祖宇、吴欣</w:t>
            </w:r>
          </w:p>
          <w:p>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rPr>
              <w:t>三等奖：向荣、洪金珠、李骏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0" w:hRule="atLeast"/>
        </w:trPr>
        <w:tc>
          <w:tcPr>
            <w:tcW w:w="203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rPr>
              <w:t>浙江省高层次人才特殊支持计划教学名师</w:t>
            </w:r>
          </w:p>
        </w:tc>
        <w:tc>
          <w:tcPr>
            <w:tcW w:w="216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rPr>
              <w:t>涉密不发布通知</w:t>
            </w:r>
          </w:p>
        </w:tc>
        <w:tc>
          <w:tcPr>
            <w:tcW w:w="216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rPr>
              <w:t>2024年11月27日</w:t>
            </w:r>
          </w:p>
        </w:tc>
        <w:tc>
          <w:tcPr>
            <w:tcW w:w="261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rPr>
              <w:t>工商管理学院俞荣建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0" w:hRule="atLeast"/>
        </w:trPr>
        <w:tc>
          <w:tcPr>
            <w:tcW w:w="203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rPr>
              <w:t>浙江省高层次人才特殊支持计划教学英才</w:t>
            </w:r>
          </w:p>
        </w:tc>
        <w:tc>
          <w:tcPr>
            <w:tcW w:w="216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rPr>
              <w:t>涉密不发布通知</w:t>
            </w:r>
          </w:p>
        </w:tc>
        <w:tc>
          <w:tcPr>
            <w:tcW w:w="216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rPr>
              <w:t>2024年11月27日</w:t>
            </w:r>
          </w:p>
        </w:tc>
        <w:tc>
          <w:tcPr>
            <w:tcW w:w="261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rPr>
              <w:t>外国语学院陈程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03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rPr>
              <w:t>国家级教学名师</w:t>
            </w:r>
          </w:p>
        </w:tc>
        <w:tc>
          <w:tcPr>
            <w:tcW w:w="216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rPr>
              <w:t>涉密不发布通知</w:t>
            </w:r>
          </w:p>
        </w:tc>
        <w:tc>
          <w:tcPr>
            <w:tcW w:w="216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rPr>
              <w:t>2024年3月14日</w:t>
            </w:r>
          </w:p>
        </w:tc>
        <w:tc>
          <w:tcPr>
            <w:tcW w:w="261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rPr>
              <w:t>计算机科学与技术学院王勋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0" w:hRule="atLeast"/>
        </w:trPr>
        <w:tc>
          <w:tcPr>
            <w:tcW w:w="203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rPr>
              <w:t>浙江省“十四五”第二批本科教学改革项目</w:t>
            </w:r>
          </w:p>
        </w:tc>
        <w:tc>
          <w:tcPr>
            <w:tcW w:w="216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rPr>
              <w:t>2024年11月26日</w:t>
            </w:r>
          </w:p>
        </w:tc>
        <w:tc>
          <w:tcPr>
            <w:tcW w:w="216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rPr>
              <w:t>2024年12月12日</w:t>
            </w:r>
          </w:p>
        </w:tc>
        <w:tc>
          <w:tcPr>
            <w:tcW w:w="261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rPr>
              <w:t>俞荣建、刘玮琳、朱继祥、赵英军、陶莺、陈钰芬、陈骥、曹丹、吴太贵、辛爽、谢诗蕾、芮义鹤、卢洪雨、吴遵义、江博琼、陈超、刘细涓、项益鸣、宋杰、李华金、郑竹逸、周德、杨惠兰、赵永健、柴可辅、蓝辉、赵李叶、夏秋冬、邓弋威、徐越倩、傅培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8" w:hRule="atLeast"/>
        </w:trPr>
        <w:tc>
          <w:tcPr>
            <w:tcW w:w="203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全国三八红旗手</w:t>
            </w:r>
          </w:p>
        </w:tc>
        <w:tc>
          <w:tcPr>
            <w:tcW w:w="216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2023年11月20日</w:t>
            </w:r>
          </w:p>
        </w:tc>
        <w:tc>
          <w:tcPr>
            <w:tcW w:w="216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2023年12月1日</w:t>
            </w:r>
          </w:p>
        </w:tc>
        <w:tc>
          <w:tcPr>
            <w:tcW w:w="261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傅玲琳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0" w:hRule="atLeast"/>
        </w:trPr>
        <w:tc>
          <w:tcPr>
            <w:tcW w:w="203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浙江省高校教职工文化金品牌</w:t>
            </w:r>
          </w:p>
        </w:tc>
        <w:tc>
          <w:tcPr>
            <w:tcW w:w="216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2024年5月14日</w:t>
            </w:r>
          </w:p>
        </w:tc>
        <w:tc>
          <w:tcPr>
            <w:tcW w:w="216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2024年6月12日</w:t>
            </w:r>
          </w:p>
        </w:tc>
        <w:tc>
          <w:tcPr>
            <w:tcW w:w="261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后勤绿叶文化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0" w:hRule="atLeast"/>
        </w:trPr>
        <w:tc>
          <w:tcPr>
            <w:tcW w:w="203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2024年度浙江省教育工会名师创新工作室</w:t>
            </w:r>
          </w:p>
        </w:tc>
        <w:tc>
          <w:tcPr>
            <w:tcW w:w="216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2024年10月29日</w:t>
            </w:r>
          </w:p>
        </w:tc>
        <w:tc>
          <w:tcPr>
            <w:tcW w:w="216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eastAsia" w:ascii="仿宋_GB2312" w:hAnsi="仿宋_GB2312" w:eastAsia="仿宋_GB2312" w:cs="仿宋_GB2312"/>
                <w:sz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2024年11月4日</w:t>
            </w:r>
          </w:p>
          <w:p>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eastAsia" w:ascii="仿宋_GB2312" w:hAnsi="仿宋_GB2312" w:eastAsia="仿宋_GB2312" w:cs="仿宋_GB2312"/>
                <w:sz w:val="24"/>
                <w:lang w:val="en-US" w:eastAsia="zh-CN"/>
              </w:rPr>
            </w:pPr>
          </w:p>
        </w:tc>
        <w:tc>
          <w:tcPr>
            <w:tcW w:w="261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邓弋威领衔的“出蓝潮声名师创新工作室”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0" w:hRule="atLeast"/>
        </w:trPr>
        <w:tc>
          <w:tcPr>
            <w:tcW w:w="203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校“三育人”先进个人</w:t>
            </w:r>
          </w:p>
        </w:tc>
        <w:tc>
          <w:tcPr>
            <w:tcW w:w="216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 xml:space="preserve"> 2024年5月30日</w:t>
            </w:r>
          </w:p>
        </w:tc>
        <w:tc>
          <w:tcPr>
            <w:tcW w:w="216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eastAsia" w:ascii="仿宋_GB2312" w:hAnsi="仿宋_GB2312" w:eastAsia="仿宋_GB2312" w:cs="仿宋_GB2312"/>
                <w:sz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2024年6月18日</w:t>
            </w:r>
          </w:p>
          <w:p>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eastAsia" w:ascii="仿宋_GB2312" w:hAnsi="仿宋_GB2312" w:eastAsia="仿宋_GB2312" w:cs="仿宋_GB2312"/>
                <w:sz w:val="24"/>
                <w:lang w:val="en-US" w:eastAsia="zh-CN"/>
              </w:rPr>
            </w:pPr>
          </w:p>
        </w:tc>
        <w:tc>
          <w:tcPr>
            <w:tcW w:w="261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马文超、王文春、王秀萍、王祖梦、史瑶瑶、毕德亮、向荣、刘艳、 刘晓琴、刘敏、刘媛媛 、严小虎、李华金、李建伟、李渊、李婧怡、杨正宇、杨洁、杨晓蓉、肖春霞、吴素红、吴毓华、邱毅、汪美贞、沈骁婧、张巧智、张世月、张崇辉、陈祎翀、陈婵、邵俊、赵丹、赵泽人、郭虹宇、黄红华、崔久星、韩宁、傅鸿洲、温从儒、裘渔洋、鲍福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trPr>
        <w:tc>
          <w:tcPr>
            <w:tcW w:w="203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校“三育人”先进集体</w:t>
            </w:r>
          </w:p>
        </w:tc>
        <w:tc>
          <w:tcPr>
            <w:tcW w:w="216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 xml:space="preserve"> 2024年5月30日</w:t>
            </w:r>
          </w:p>
        </w:tc>
        <w:tc>
          <w:tcPr>
            <w:tcW w:w="216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eastAsia" w:ascii="仿宋_GB2312" w:hAnsi="仿宋_GB2312" w:eastAsia="仿宋_GB2312" w:cs="仿宋_GB2312"/>
                <w:sz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2024年6月18日</w:t>
            </w:r>
          </w:p>
          <w:p>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eastAsia" w:ascii="仿宋_GB2312" w:hAnsi="仿宋_GB2312" w:eastAsia="仿宋_GB2312" w:cs="仿宋_GB2312"/>
                <w:sz w:val="24"/>
                <w:lang w:val="en-US" w:eastAsia="zh-CN"/>
              </w:rPr>
            </w:pPr>
          </w:p>
        </w:tc>
        <w:tc>
          <w:tcPr>
            <w:tcW w:w="261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 xml:space="preserve">外国语学院、旅游与城乡规划学院、艺术设计学院、计算机科学与技术学院、学生工作部、教务处  </w:t>
            </w:r>
          </w:p>
        </w:tc>
      </w:tr>
    </w:tbl>
    <w:p>
      <w:pPr>
        <w:pStyle w:val="17"/>
        <w:spacing w:before="312" w:beforeLines="100"/>
        <w:ind w:firstLine="641" w:firstLineChars="0"/>
        <w:jc w:val="both"/>
        <w:rPr>
          <w:rFonts w:ascii="黑体" w:hAnsi="黑体" w:eastAsia="黑体"/>
          <w:b w:val="0"/>
          <w:color w:val="auto"/>
        </w:rPr>
      </w:pPr>
      <w:r>
        <w:rPr>
          <w:rFonts w:hint="eastAsia" w:ascii="黑体" w:hAnsi="黑体" w:eastAsia="黑体"/>
          <w:b w:val="0"/>
          <w:color w:val="auto"/>
        </w:rPr>
        <w:t>二、工作举措</w:t>
      </w:r>
      <w:bookmarkEnd w:id="21"/>
    </w:p>
    <w:p>
      <w:pPr>
        <w:spacing w:line="560" w:lineRule="exact"/>
        <w:ind w:firstLine="643" w:firstLineChars="200"/>
        <w:rPr>
          <w:rFonts w:ascii="楷体_GB2312" w:eastAsia="楷体_GB2312"/>
          <w:b/>
          <w:bCs/>
          <w:color w:val="auto"/>
          <w:sz w:val="32"/>
          <w:szCs w:val="32"/>
        </w:rPr>
      </w:pPr>
      <w:r>
        <w:rPr>
          <w:rFonts w:hint="eastAsia" w:ascii="楷体_GB2312" w:eastAsia="楷体_GB2312"/>
          <w:b/>
          <w:bCs/>
          <w:color w:val="auto"/>
          <w:sz w:val="32"/>
          <w:szCs w:val="32"/>
        </w:rPr>
        <w:t>（一）专业技术职务评聘工作的公开措施</w:t>
      </w:r>
    </w:p>
    <w:p>
      <w:pPr>
        <w:pStyle w:val="17"/>
        <w:ind w:firstLine="640"/>
        <w:jc w:val="both"/>
        <w:rPr>
          <w:rFonts w:ascii="仿宋_GB2312" w:hAnsi="Calibri" w:eastAsia="仿宋_GB2312" w:cs="Times New Roman"/>
          <w:b w:val="0"/>
          <w:color w:val="auto"/>
        </w:rPr>
      </w:pPr>
      <w:r>
        <w:rPr>
          <w:rFonts w:hint="eastAsia" w:ascii="仿宋_GB2312" w:hAnsi="Calibri" w:eastAsia="仿宋_GB2312" w:cs="Times New Roman"/>
          <w:b w:val="0"/>
          <w:color w:val="auto"/>
        </w:rPr>
        <w:t>1.公开发布文件，明确评聘政策。本年度专业技术职务评聘文件依据为《浙江工商大学专业技术职务评聘办法（试行）》（浙商大人〔2023〕147号）。</w:t>
      </w:r>
    </w:p>
    <w:p>
      <w:pPr>
        <w:pStyle w:val="17"/>
        <w:ind w:firstLine="640"/>
        <w:jc w:val="both"/>
        <w:rPr>
          <w:rFonts w:ascii="仿宋_GB2312" w:hAnsi="Calibri" w:eastAsia="仿宋_GB2312" w:cs="Times New Roman"/>
          <w:b w:val="0"/>
          <w:color w:val="auto"/>
        </w:rPr>
      </w:pPr>
      <w:r>
        <w:rPr>
          <w:rFonts w:hint="eastAsia" w:ascii="仿宋_GB2312" w:hAnsi="Calibri" w:eastAsia="仿宋_GB2312" w:cs="Times New Roman"/>
          <w:b w:val="0"/>
          <w:color w:val="auto"/>
        </w:rPr>
        <w:t>2.严把材料送审关，加大第三方机构送审力度。202</w:t>
      </w:r>
      <w:r>
        <w:rPr>
          <w:rFonts w:hint="eastAsia" w:ascii="仿宋_GB2312" w:hAnsi="Calibri" w:eastAsia="仿宋_GB2312" w:cs="Times New Roman"/>
          <w:b w:val="0"/>
          <w:color w:val="auto"/>
          <w:lang w:val="en-US" w:eastAsia="zh-CN"/>
        </w:rPr>
        <w:t>4</w:t>
      </w:r>
      <w:r>
        <w:rPr>
          <w:rFonts w:hint="eastAsia" w:ascii="仿宋_GB2312" w:hAnsi="Calibri" w:eastAsia="仿宋_GB2312" w:cs="Times New Roman"/>
          <w:b w:val="0"/>
          <w:color w:val="auto"/>
        </w:rPr>
        <w:t>年继续委托第三方机构评审。送审采取“双向匿名，随机匹配”原则，将申报人提交的3篇代表作送往</w:t>
      </w:r>
      <w:r>
        <w:rPr>
          <w:rFonts w:hint="eastAsia" w:ascii="仿宋_GB2312" w:hAnsi="Calibri" w:eastAsia="仿宋_GB2312" w:cs="Times New Roman"/>
          <w:b w:val="0"/>
          <w:color w:val="auto"/>
          <w:lang w:val="en-US" w:eastAsia="zh-CN"/>
        </w:rPr>
        <w:t>第三方平台</w:t>
      </w:r>
      <w:r>
        <w:rPr>
          <w:rFonts w:hint="eastAsia" w:ascii="仿宋_GB2312" w:hAnsi="Calibri" w:eastAsia="仿宋_GB2312" w:cs="Times New Roman"/>
          <w:b w:val="0"/>
          <w:color w:val="auto"/>
        </w:rPr>
        <w:t>专家数据库中随机配对的同行专家评审，其中申报正高级专业技术职务的须送10名同行专家评审，申报副高级专业技术职务的须送7名同行专家评审；专家在不受任何外部因素干扰情况下，对被评人出具完全独立的学术评价意见，专家对其所出具的专家意见书负责并签名。</w:t>
      </w:r>
    </w:p>
    <w:p>
      <w:pPr>
        <w:pStyle w:val="17"/>
        <w:ind w:firstLine="640"/>
        <w:jc w:val="both"/>
        <w:rPr>
          <w:rFonts w:hint="eastAsia" w:ascii="仿宋_GB2312" w:hAnsi="Calibri" w:eastAsia="仿宋_GB2312" w:cs="Times New Roman"/>
          <w:b w:val="0"/>
          <w:color w:val="auto"/>
        </w:rPr>
      </w:pPr>
      <w:r>
        <w:rPr>
          <w:rFonts w:hint="eastAsia" w:ascii="仿宋_GB2312" w:hAnsi="Calibri" w:eastAsia="仿宋_GB2312" w:cs="Times New Roman"/>
          <w:b w:val="0"/>
          <w:color w:val="auto"/>
        </w:rPr>
        <w:t>3.规范专业技术职务评聘工作流程。评聘工作坚持自主评聘、分类评价、评聘结合和公开公正、竞争择优的原则，按公布岗位、个人申报、资格初审、代表性成果鉴定、专业技术职务系统填报及资格审查、学院（部门）考核推荐、学科组评议、校专业技术职务评聘委员会评审等程序进行。绿色通道申报人员经过学院（部门）考核推荐之后，直接由学校常设组织进行评审，产生拟聘人员。</w:t>
      </w:r>
    </w:p>
    <w:p>
      <w:pPr>
        <w:pStyle w:val="17"/>
        <w:ind w:firstLine="640"/>
        <w:jc w:val="both"/>
        <w:rPr>
          <w:rFonts w:ascii="仿宋_GB2312" w:hAnsi="Calibri" w:eastAsia="仿宋_GB2312" w:cs="Times New Roman"/>
          <w:b w:val="0"/>
          <w:color w:val="auto"/>
        </w:rPr>
      </w:pPr>
      <w:r>
        <w:rPr>
          <w:rFonts w:hint="eastAsia" w:ascii="仿宋_GB2312" w:hAnsi="Calibri" w:eastAsia="仿宋_GB2312" w:cs="Times New Roman"/>
          <w:b w:val="0"/>
          <w:color w:val="auto"/>
        </w:rPr>
        <w:t>4.评审结果上报主管部门备案，校内发文，告知相关人员专业技术职务晋升情况。</w:t>
      </w:r>
    </w:p>
    <w:p>
      <w:pPr>
        <w:spacing w:line="560" w:lineRule="exact"/>
        <w:ind w:firstLine="643" w:firstLineChars="200"/>
        <w:rPr>
          <w:rFonts w:ascii="楷体_GB2312" w:eastAsia="楷体_GB2312"/>
          <w:b/>
          <w:bCs/>
          <w:color w:val="auto"/>
          <w:sz w:val="32"/>
          <w:szCs w:val="32"/>
        </w:rPr>
      </w:pPr>
      <w:r>
        <w:rPr>
          <w:rFonts w:hint="eastAsia" w:ascii="楷体_GB2312" w:eastAsia="楷体_GB2312"/>
          <w:b/>
          <w:bCs/>
          <w:color w:val="auto"/>
          <w:sz w:val="32"/>
          <w:szCs w:val="32"/>
        </w:rPr>
        <w:t>（二）</w:t>
      </w:r>
      <w:r>
        <w:rPr>
          <w:rFonts w:hint="eastAsia" w:ascii="楷体_GB2312" w:eastAsia="楷体_GB2312"/>
          <w:b/>
          <w:bCs/>
          <w:color w:val="auto"/>
          <w:sz w:val="32"/>
          <w:szCs w:val="32"/>
          <w:lang w:val="en-US" w:eastAsia="zh-CN"/>
        </w:rPr>
        <w:t>荣誉称号推荐评选</w:t>
      </w:r>
      <w:r>
        <w:rPr>
          <w:rFonts w:hint="eastAsia" w:ascii="楷体_GB2312" w:eastAsia="楷体_GB2312"/>
          <w:b/>
          <w:bCs/>
          <w:color w:val="auto"/>
          <w:sz w:val="32"/>
          <w:szCs w:val="32"/>
        </w:rPr>
        <w:t>工作的公开措施</w:t>
      </w:r>
    </w:p>
    <w:p>
      <w:pPr>
        <w:spacing w:line="560" w:lineRule="exact"/>
        <w:ind w:firstLine="640" w:firstLineChars="200"/>
        <w:rPr>
          <w:rFonts w:ascii="仿宋_GB2312" w:eastAsia="仿宋_GB2312"/>
          <w:sz w:val="32"/>
          <w:szCs w:val="32"/>
        </w:rPr>
      </w:pPr>
      <w:r>
        <w:rPr>
          <w:rFonts w:hint="eastAsia" w:ascii="仿宋_GB2312" w:eastAsia="仿宋_GB2312"/>
          <w:color w:val="auto"/>
          <w:sz w:val="32"/>
          <w:szCs w:val="32"/>
        </w:rPr>
        <w:t>1</w:t>
      </w:r>
      <w:r>
        <w:rPr>
          <w:rFonts w:ascii="楷体_GB2312" w:eastAsia="楷体_GB2312"/>
          <w:color w:val="auto"/>
          <w:sz w:val="32"/>
          <w:szCs w:val="32"/>
        </w:rPr>
        <w:t>.</w:t>
      </w:r>
      <w:r>
        <w:rPr>
          <w:rFonts w:hint="eastAsia" w:ascii="仿宋_GB2312" w:eastAsia="仿宋_GB2312"/>
          <w:color w:val="auto"/>
          <w:sz w:val="32"/>
          <w:szCs w:val="32"/>
        </w:rPr>
        <w:t>公开发布通知，明确评选政策。对于校内和上级部门的每一项荣誉申报项目，学校都通过校内网公开发布了申报通知（上级有密级规定的除外），在通知中一般都会明确申报范围、申报条件、申报名额以及申报材料制作和提交时限要求等。在通知中，一般都会附上相关工作人员的联系电话，以便及时接受咨询，解答疑问。发布通知同时向纪检部门</w:t>
      </w:r>
      <w:r>
        <w:rPr>
          <w:rFonts w:hint="eastAsia" w:ascii="仿宋_GB2312" w:eastAsia="仿宋_GB2312"/>
          <w:sz w:val="32"/>
          <w:szCs w:val="32"/>
        </w:rPr>
        <w:t>线上备案。</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w:t>
      </w:r>
      <w:r>
        <w:rPr>
          <w:rFonts w:ascii="楷体_GB2312" w:eastAsia="楷体_GB2312"/>
          <w:sz w:val="32"/>
          <w:szCs w:val="32"/>
        </w:rPr>
        <w:t>.</w:t>
      </w:r>
      <w:r>
        <w:rPr>
          <w:rFonts w:hint="eastAsia" w:ascii="仿宋_GB2312" w:eastAsia="仿宋_GB2312"/>
          <w:sz w:val="32"/>
          <w:szCs w:val="32"/>
        </w:rPr>
        <w:t>严格资格审查，规范遴选程序。学校相关部门根据项目文件对申报条件的要求，对于每一份申报材料严格进行审查，确保进入评审程序的都是合格人选。对于有名额限定的项目，学校召开评审会议选拔推荐，并根据上级要求由学校会议审定；对于无名额限定的项目，则将符合资格的全部报送，由上级部门组织遴选。</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w:t>
      </w:r>
      <w:r>
        <w:rPr>
          <w:rFonts w:ascii="楷体_GB2312" w:eastAsia="楷体_GB2312"/>
          <w:sz w:val="32"/>
          <w:szCs w:val="32"/>
        </w:rPr>
        <w:t>.</w:t>
      </w:r>
      <w:r>
        <w:rPr>
          <w:rFonts w:hint="eastAsia" w:ascii="仿宋_GB2312" w:eastAsia="仿宋_GB2312"/>
          <w:sz w:val="32"/>
          <w:szCs w:val="32"/>
        </w:rPr>
        <w:t>按照上级文件要求进行公示。对于需要校内评审推荐的，或者虽由上级评审但要求单位内公示的，都严格按照规定的方式和时限进行公示。</w:t>
      </w:r>
    </w:p>
    <w:p>
      <w:pPr>
        <w:spacing w:line="560" w:lineRule="exact"/>
        <w:ind w:firstLine="640" w:firstLineChars="200"/>
      </w:pPr>
      <w:r>
        <w:rPr>
          <w:rFonts w:hint="eastAsia" w:ascii="仿宋_GB2312" w:eastAsia="仿宋_GB2312"/>
          <w:sz w:val="32"/>
          <w:szCs w:val="32"/>
        </w:rPr>
        <w:t>4</w:t>
      </w:r>
      <w:r>
        <w:rPr>
          <w:rFonts w:ascii="楷体_GB2312" w:eastAsia="楷体_GB2312"/>
          <w:sz w:val="32"/>
          <w:szCs w:val="32"/>
        </w:rPr>
        <w:t>.</w:t>
      </w:r>
      <w:r>
        <w:rPr>
          <w:rFonts w:hint="eastAsia" w:ascii="仿宋_GB2312" w:eastAsia="仿宋_GB2312"/>
          <w:sz w:val="32"/>
          <w:szCs w:val="32"/>
        </w:rPr>
        <w:t>根据上级公布文件，网上公布评选结果。</w:t>
      </w:r>
    </w:p>
    <w:p>
      <w:pPr>
        <w:rPr>
          <w:rFonts w:hint="eastAsia"/>
        </w:rPr>
      </w:pPr>
      <w:r>
        <w:rPr>
          <w:rFonts w:hint="eastAsia"/>
        </w:rPr>
        <w:br w:type="page"/>
      </w:r>
    </w:p>
    <w:p>
      <w:pPr>
        <w:pStyle w:val="2"/>
        <w:keepNext/>
        <w:keepLines/>
        <w:pageBreakBefore w:val="0"/>
        <w:widowControl w:val="0"/>
        <w:kinsoku/>
        <w:wordWrap/>
        <w:overflowPunct/>
        <w:topLinePunct w:val="0"/>
        <w:autoSpaceDE/>
        <w:autoSpaceDN/>
        <w:bidi w:val="0"/>
        <w:adjustRightInd/>
        <w:snapToGrid w:val="0"/>
        <w:spacing w:before="0" w:after="0" w:afterLines="0" w:line="560" w:lineRule="exact"/>
        <w:ind w:firstLine="0"/>
        <w:textAlignment w:val="auto"/>
        <w:rPr>
          <w:rFonts w:hint="eastAsia" w:ascii="方正小标宋简体" w:hAnsi="方正小标宋简体" w:eastAsia="方正小标宋简体" w:cs="方正小标宋简体"/>
          <w:b/>
          <w:bCs/>
          <w:lang w:val="en-US" w:eastAsia="zh-CN"/>
        </w:rPr>
      </w:pPr>
      <w:bookmarkStart w:id="22" w:name="_Toc5262940"/>
      <w:bookmarkStart w:id="23" w:name="_Toc103345068"/>
      <w:r>
        <w:rPr>
          <w:rFonts w:hint="eastAsia" w:ascii="方正小标宋简体" w:hAnsi="方正小标宋简体" w:eastAsia="方正小标宋简体" w:cs="方正小标宋简体"/>
          <w:b/>
          <w:bCs/>
          <w:lang w:val="en-US" w:eastAsia="zh-CN"/>
        </w:rPr>
        <w:t>2024年教学仪器设备和大宗物资采购</w:t>
      </w:r>
      <w:bookmarkEnd w:id="22"/>
      <w:bookmarkEnd w:id="23"/>
      <w:bookmarkStart w:id="24" w:name="_Toc5089732"/>
      <w:bookmarkStart w:id="25" w:name="_Toc5262941"/>
      <w:bookmarkStart w:id="26" w:name="_Toc103345069"/>
      <w:bookmarkStart w:id="27" w:name="_Toc103343706"/>
      <w:r>
        <w:rPr>
          <w:rFonts w:hint="eastAsia" w:ascii="方正小标宋简体" w:hAnsi="方正小标宋简体" w:eastAsia="方正小标宋简体" w:cs="方正小标宋简体"/>
          <w:b/>
          <w:bCs/>
          <w:lang w:val="en-US" w:eastAsia="zh-CN"/>
        </w:rPr>
        <w:t>工作</w:t>
      </w:r>
    </w:p>
    <w:p>
      <w:pPr>
        <w:pStyle w:val="2"/>
        <w:keepNext/>
        <w:keepLines/>
        <w:pageBreakBefore w:val="0"/>
        <w:widowControl w:val="0"/>
        <w:kinsoku/>
        <w:wordWrap/>
        <w:overflowPunct/>
        <w:topLinePunct w:val="0"/>
        <w:autoSpaceDE/>
        <w:autoSpaceDN/>
        <w:bidi w:val="0"/>
        <w:adjustRightInd/>
        <w:snapToGrid w:val="0"/>
        <w:spacing w:before="0" w:after="0" w:afterLines="0" w:line="560" w:lineRule="exact"/>
        <w:ind w:firstLine="0"/>
        <w:textAlignment w:val="auto"/>
        <w:rPr>
          <w:rFonts w:hint="eastAsia" w:ascii="方正小标宋简体" w:hAnsi="方正小标宋简体" w:eastAsia="方正小标宋简体" w:cs="方正小标宋简体"/>
          <w:b/>
          <w:bCs/>
        </w:rPr>
      </w:pPr>
      <w:r>
        <w:rPr>
          <w:rFonts w:hint="eastAsia" w:ascii="方正小标宋简体" w:hAnsi="方正小标宋简体" w:eastAsia="方正小标宋简体" w:cs="方正小标宋简体"/>
          <w:b/>
          <w:bCs/>
          <w:lang w:val="en-US" w:eastAsia="zh-CN"/>
        </w:rPr>
        <w:t>公开报告</w:t>
      </w:r>
      <w:bookmarkEnd w:id="24"/>
      <w:bookmarkEnd w:id="25"/>
      <w:bookmarkEnd w:id="26"/>
      <w:bookmarkEnd w:id="27"/>
    </w:p>
    <w:p>
      <w:pPr>
        <w:pStyle w:val="17"/>
        <w:ind w:firstLine="640"/>
        <w:rPr>
          <w:rFonts w:hint="eastAsia" w:ascii="黑体" w:hAnsi="黑体" w:eastAsia="黑体"/>
          <w:b w:val="0"/>
        </w:rPr>
      </w:pPr>
    </w:p>
    <w:p>
      <w:pPr>
        <w:pStyle w:val="17"/>
        <w:ind w:firstLine="640"/>
        <w:rPr>
          <w:rFonts w:ascii="黑体" w:hAnsi="黑体" w:eastAsia="黑体"/>
          <w:b w:val="0"/>
        </w:rPr>
      </w:pPr>
      <w:r>
        <w:rPr>
          <w:rFonts w:hint="eastAsia" w:ascii="黑体" w:hAnsi="黑体" w:eastAsia="黑体"/>
          <w:b w:val="0"/>
        </w:rPr>
        <w:t>一、基本情况</w:t>
      </w:r>
    </w:p>
    <w:p>
      <w:pPr>
        <w:spacing w:line="560" w:lineRule="exact"/>
        <w:ind w:firstLine="640" w:firstLineChars="200"/>
        <w:jc w:val="both"/>
        <w:rPr>
          <w:rFonts w:ascii="Times New Roman" w:hAnsi="Times New Roman" w:eastAsia="仿宋_GB2312"/>
          <w:b/>
          <w:sz w:val="32"/>
          <w:szCs w:val="32"/>
        </w:rPr>
      </w:pPr>
      <w:r>
        <w:rPr>
          <w:rFonts w:ascii="Times New Roman" w:hAnsi="Times New Roman" w:eastAsia="仿宋_GB2312"/>
          <w:sz w:val="32"/>
          <w:szCs w:val="32"/>
        </w:rPr>
        <w:t>1.</w:t>
      </w:r>
      <w:r>
        <w:rPr>
          <w:rFonts w:hint="eastAsia"/>
        </w:rPr>
        <w:t xml:space="preserve"> </w:t>
      </w:r>
      <w:r>
        <w:rPr>
          <w:rFonts w:hint="eastAsia" w:ascii="Times New Roman" w:hAnsi="Times New Roman" w:eastAsia="仿宋_GB2312"/>
          <w:sz w:val="32"/>
          <w:szCs w:val="32"/>
        </w:rPr>
        <w:t>2024年，学校申报政府采购预算执行建议书1886份，涉及金额4.44亿元，其中：设备类980项，采购预算金额1.32亿元；家具类206项，采购预算金额957.15万元；软件类13项，采购预算金额516.7万元；图书资料及教材类8项，采购预算金额776.55万元；全校会议培训类129项，采购预算金额1209.68万元；招生宣传、出版、保险等服务类项目257项，采购预算金额1.18亿元；工程类78项，采购预算金额1.55亿元；其他零星采购项目215项，采购预算金额495.89万元。</w:t>
      </w:r>
      <w:r>
        <w:rPr>
          <w:rFonts w:ascii="Times New Roman" w:hAnsi="Times New Roman" w:eastAsia="仿宋_GB2312"/>
          <w:b/>
          <w:sz w:val="32"/>
          <w:szCs w:val="32"/>
        </w:rPr>
        <w:t>（数据来源：计财处）</w:t>
      </w:r>
    </w:p>
    <w:p>
      <w:pPr>
        <w:spacing w:line="560" w:lineRule="exact"/>
        <w:ind w:firstLine="640" w:firstLineChars="200"/>
        <w:jc w:val="both"/>
        <w:rPr>
          <w:rFonts w:ascii="Times New Roman" w:hAnsi="Times New Roman" w:eastAsia="仿宋_GB2312"/>
          <w:b/>
          <w:sz w:val="32"/>
          <w:szCs w:val="32"/>
        </w:rPr>
      </w:pPr>
      <w:r>
        <w:rPr>
          <w:rFonts w:ascii="Times New Roman" w:hAnsi="Times New Roman" w:eastAsia="仿宋_GB2312"/>
          <w:sz w:val="32"/>
          <w:szCs w:val="32"/>
        </w:rPr>
        <w:t>2.2024年，学校新增教学资产总量为8077件，同比增长58.25%；总金额为3781.71万元，同比增长8.20%。教学仪器设备新增2503件，同比下降9.25%；金额2779.96万元同比下降6.99%。其中，单台件价值10万元以上贵重仪器设备42件，同比增长16.67%。教学家具用具新增5557件，同比增长138.50%；金额819.00万元，同比增长205.68%。教学软件新增17件，同比增长6.25%；金额182.75万元，同比下降6.99%。</w:t>
      </w:r>
      <w:r>
        <w:rPr>
          <w:rFonts w:ascii="Times New Roman" w:hAnsi="Times New Roman" w:eastAsia="仿宋_GB2312"/>
          <w:b/>
          <w:sz w:val="32"/>
          <w:szCs w:val="32"/>
        </w:rPr>
        <w:t>（数据来源：资产处）</w:t>
      </w:r>
    </w:p>
    <w:p>
      <w:pPr>
        <w:spacing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3.2024年，学校主持或组织公开招标、竞争性磋商、竞争性谈判、单一来源等采购活动共计100次，招标采购项数130项，零星采购1274次，完成全部学校采购任务。签订合同143份，金额累计2.708亿元。</w:t>
      </w:r>
    </w:p>
    <w:p>
      <w:pPr>
        <w:spacing w:line="560" w:lineRule="exact"/>
        <w:ind w:firstLine="640" w:firstLineChars="200"/>
        <w:jc w:val="both"/>
        <w:rPr>
          <w:rFonts w:hint="eastAsia" w:ascii="Times New Roman" w:hAnsi="Times New Roman" w:eastAsia="仿宋_GB2312"/>
          <w:b/>
          <w:sz w:val="32"/>
          <w:szCs w:val="32"/>
        </w:rPr>
      </w:pPr>
      <w:r>
        <w:rPr>
          <w:rFonts w:ascii="Times New Roman" w:hAnsi="Times New Roman" w:eastAsia="仿宋_GB2312"/>
          <w:sz w:val="32"/>
          <w:szCs w:val="32"/>
        </w:rPr>
        <w:t>2024年，完成货物类合同金额100万元以上的有“图书馆</w:t>
      </w:r>
      <w:r>
        <w:rPr>
          <w:rFonts w:hint="eastAsia" w:ascii="Times New Roman" w:hAnsi="Times New Roman" w:eastAsia="仿宋_GB2312"/>
          <w:sz w:val="32"/>
          <w:szCs w:val="32"/>
        </w:rPr>
        <w:t>&amp;行云苑食堂（</w:t>
      </w:r>
      <w:r>
        <w:rPr>
          <w:rFonts w:ascii="Times New Roman" w:hAnsi="Times New Roman" w:eastAsia="仿宋_GB2312"/>
          <w:sz w:val="32"/>
          <w:szCs w:val="32"/>
        </w:rPr>
        <w:t>江韵阁</w:t>
      </w:r>
      <w:r>
        <w:rPr>
          <w:rFonts w:hint="eastAsia" w:ascii="Times New Roman" w:hAnsi="Times New Roman" w:eastAsia="仿宋_GB2312"/>
          <w:sz w:val="32"/>
          <w:szCs w:val="32"/>
        </w:rPr>
        <w:t>餐厅）</w:t>
      </w:r>
      <w:r>
        <w:rPr>
          <w:rFonts w:ascii="Times New Roman" w:hAnsi="Times New Roman" w:eastAsia="仿宋_GB2312"/>
          <w:sz w:val="32"/>
          <w:szCs w:val="32"/>
        </w:rPr>
        <w:t>中央空调节能减排更新改造项目”、“未来营养健康与共同富裕计算设备更新-共同富裕计算设备项目”、“继教学院-腾讯云数字产业人才培养项目教学等资源项目”等30项（其中,单个合同金额300万元以上11项，单个合同金额1000万元以上3项）；完成服务类合同金额100万元以上的有“专业技术职务岗位晋升第三方同行评审服务项目”、“图书馆ELSEVIER数据库、CNRDS数据库项目”、“2025年</w:t>
      </w:r>
      <w:r>
        <w:rPr>
          <w:rFonts w:ascii="Times New Roman" w:hAnsi="Times New Roman" w:eastAsia="微软雅黑"/>
          <w:sz w:val="32"/>
          <w:szCs w:val="32"/>
        </w:rPr>
        <w:t>–</w:t>
      </w:r>
      <w:r>
        <w:rPr>
          <w:rFonts w:ascii="Times New Roman" w:hAnsi="Times New Roman" w:eastAsia="仿宋_GB2312"/>
          <w:sz w:val="32"/>
          <w:szCs w:val="32"/>
        </w:rPr>
        <w:t>2026年校车租赁项目”等15项（其中单个合同金额300万元以上3项，单个合同金额1000万元以上1项）；完成工程类合同金额100万元以上的有“浙商博物馆装修改造工程项目”、“学生公寓提升改造工程项目”、“下沙校区消防水系统维修改造项目”等11项（其中单个合同金额300万元以上5项）。</w:t>
      </w:r>
      <w:r>
        <w:rPr>
          <w:rFonts w:ascii="Times New Roman" w:hAnsi="Times New Roman" w:eastAsia="仿宋_GB2312"/>
          <w:b/>
          <w:sz w:val="32"/>
          <w:szCs w:val="32"/>
        </w:rPr>
        <w:t>（数据来源：采购中心）</w:t>
      </w:r>
    </w:p>
    <w:p>
      <w:pPr>
        <w:spacing w:line="540" w:lineRule="exact"/>
        <w:ind w:firstLine="0"/>
        <w:jc w:val="center"/>
        <w:rPr>
          <w:rFonts w:hint="eastAsia" w:ascii="仿宋_GB2312" w:hAnsi="仿宋_GB2312" w:eastAsia="仿宋_GB2312" w:cs="仿宋_GB2312"/>
          <w:b/>
          <w:sz w:val="28"/>
          <w:szCs w:val="28"/>
          <w:shd w:val="clear" w:color="auto" w:fill="FFFFFF"/>
        </w:rPr>
      </w:pPr>
      <w:r>
        <w:rPr>
          <w:rFonts w:hint="eastAsia" w:ascii="仿宋_GB2312" w:hAnsi="仿宋_GB2312" w:eastAsia="仿宋_GB2312" w:cs="仿宋_GB2312"/>
          <w:b/>
          <w:sz w:val="28"/>
          <w:szCs w:val="28"/>
          <w:shd w:val="clear" w:color="auto" w:fill="FFFFFF"/>
        </w:rPr>
        <w:t>2024年100万元以上教学仪器设备和大宗物资采购情况统计表</w:t>
      </w:r>
    </w:p>
    <w:tbl>
      <w:tblPr>
        <w:tblStyle w:val="9"/>
        <w:tblW w:w="8858" w:type="dxa"/>
        <w:jc w:val="center"/>
        <w:tblInd w:w="0" w:type="dxa"/>
        <w:tblLayout w:type="fixed"/>
        <w:tblCellMar>
          <w:top w:w="0" w:type="dxa"/>
          <w:left w:w="0" w:type="dxa"/>
          <w:bottom w:w="0" w:type="dxa"/>
          <w:right w:w="0" w:type="dxa"/>
        </w:tblCellMar>
      </w:tblPr>
      <w:tblGrid>
        <w:gridCol w:w="636"/>
        <w:gridCol w:w="5498"/>
        <w:gridCol w:w="1134"/>
        <w:gridCol w:w="1590"/>
      </w:tblGrid>
      <w:tr>
        <w:tblPrEx>
          <w:tblLayout w:type="fixed"/>
          <w:tblCellMar>
            <w:top w:w="0" w:type="dxa"/>
            <w:left w:w="0" w:type="dxa"/>
            <w:bottom w:w="0" w:type="dxa"/>
            <w:right w:w="0" w:type="dxa"/>
          </w:tblCellMar>
        </w:tblPrEx>
        <w:trPr>
          <w:jc w:val="center"/>
        </w:trPr>
        <w:tc>
          <w:tcPr>
            <w:tcW w:w="6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34" w:lineRule="atLeast"/>
              <w:ind w:firstLine="0"/>
              <w:jc w:val="both"/>
              <w:rPr>
                <w:rFonts w:ascii="Times New Roman" w:hAnsi="Times New Roman" w:eastAsia="仿宋"/>
                <w:b/>
                <w:bCs/>
                <w:kern w:val="0"/>
                <w:sz w:val="24"/>
                <w:lang w:bidi="ar"/>
              </w:rPr>
            </w:pPr>
            <w:r>
              <w:rPr>
                <w:rFonts w:ascii="Times New Roman" w:hAnsi="Times New Roman" w:eastAsia="仿宋"/>
                <w:b/>
                <w:bCs/>
                <w:kern w:val="0"/>
                <w:sz w:val="24"/>
                <w:lang w:bidi="ar"/>
              </w:rPr>
              <w:t>序号</w:t>
            </w:r>
          </w:p>
        </w:tc>
        <w:tc>
          <w:tcPr>
            <w:tcW w:w="54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34" w:lineRule="atLeast"/>
              <w:ind w:firstLine="0"/>
              <w:jc w:val="center"/>
              <w:rPr>
                <w:rFonts w:ascii="Times New Roman" w:hAnsi="Times New Roman" w:eastAsia="仿宋"/>
                <w:b/>
                <w:bCs/>
                <w:kern w:val="0"/>
                <w:sz w:val="24"/>
                <w:lang w:bidi="ar"/>
              </w:rPr>
            </w:pPr>
            <w:r>
              <w:rPr>
                <w:rFonts w:ascii="Times New Roman" w:hAnsi="Times New Roman" w:eastAsia="仿宋"/>
                <w:b/>
                <w:bCs/>
                <w:kern w:val="0"/>
                <w:sz w:val="24"/>
                <w:lang w:bidi="ar"/>
              </w:rPr>
              <w:t>采购项目名称</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34" w:lineRule="atLeast"/>
              <w:ind w:firstLine="0"/>
              <w:jc w:val="left"/>
              <w:rPr>
                <w:rFonts w:ascii="Times New Roman" w:hAnsi="Times New Roman" w:eastAsia="仿宋"/>
                <w:b/>
                <w:bCs/>
                <w:kern w:val="0"/>
                <w:sz w:val="24"/>
                <w:lang w:bidi="ar"/>
              </w:rPr>
            </w:pPr>
            <w:r>
              <w:rPr>
                <w:rFonts w:ascii="Times New Roman" w:hAnsi="Times New Roman" w:eastAsia="仿宋"/>
                <w:b/>
                <w:bCs/>
                <w:kern w:val="0"/>
                <w:sz w:val="24"/>
                <w:lang w:bidi="ar"/>
              </w:rPr>
              <w:t>合同总额</w:t>
            </w:r>
          </w:p>
          <w:p>
            <w:pPr>
              <w:widowControl/>
              <w:spacing w:line="234" w:lineRule="atLeast"/>
              <w:ind w:firstLine="0"/>
              <w:jc w:val="left"/>
              <w:rPr>
                <w:rFonts w:ascii="Times New Roman" w:hAnsi="Times New Roman" w:eastAsia="仿宋"/>
                <w:b/>
                <w:bCs/>
                <w:kern w:val="0"/>
                <w:sz w:val="24"/>
                <w:lang w:bidi="ar"/>
              </w:rPr>
            </w:pPr>
            <w:r>
              <w:rPr>
                <w:rFonts w:ascii="Times New Roman" w:hAnsi="Times New Roman" w:eastAsia="仿宋"/>
                <w:b/>
                <w:bCs/>
                <w:kern w:val="0"/>
                <w:sz w:val="24"/>
                <w:lang w:bidi="ar"/>
              </w:rPr>
              <w:t>(万元)</w:t>
            </w:r>
          </w:p>
        </w:tc>
        <w:tc>
          <w:tcPr>
            <w:tcW w:w="1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34" w:lineRule="atLeast"/>
              <w:ind w:firstLine="0"/>
              <w:jc w:val="center"/>
              <w:rPr>
                <w:rFonts w:ascii="Times New Roman" w:hAnsi="Times New Roman" w:eastAsia="仿宋"/>
                <w:b/>
                <w:bCs/>
                <w:kern w:val="0"/>
                <w:sz w:val="24"/>
                <w:lang w:bidi="ar"/>
              </w:rPr>
            </w:pPr>
            <w:r>
              <w:rPr>
                <w:rFonts w:ascii="Times New Roman" w:hAnsi="Times New Roman" w:eastAsia="仿宋"/>
                <w:b/>
                <w:bCs/>
                <w:kern w:val="0"/>
                <w:sz w:val="24"/>
                <w:lang w:bidi="ar"/>
              </w:rPr>
              <w:t>采购方式</w:t>
            </w:r>
          </w:p>
        </w:tc>
      </w:tr>
      <w:tr>
        <w:tblPrEx>
          <w:tblLayout w:type="fixed"/>
          <w:tblCellMar>
            <w:top w:w="0" w:type="dxa"/>
            <w:left w:w="0" w:type="dxa"/>
            <w:bottom w:w="0" w:type="dxa"/>
            <w:right w:w="0" w:type="dxa"/>
          </w:tblCellMar>
        </w:tblPrEx>
        <w:trPr>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numPr>
                <w:ilvl w:val="0"/>
                <w:numId w:val="1"/>
              </w:numPr>
              <w:suppressAutoHyphens/>
              <w:spacing w:line="234" w:lineRule="atLeast"/>
              <w:jc w:val="center"/>
              <w:rPr>
                <w:rFonts w:ascii="Times New Roman" w:hAnsi="Times New Roman" w:eastAsia="仿宋"/>
                <w:kern w:val="0"/>
                <w:sz w:val="24"/>
                <w:lang w:bidi="ar"/>
              </w:rPr>
            </w:pPr>
          </w:p>
        </w:tc>
        <w:tc>
          <w:tcPr>
            <w:tcW w:w="5498"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widowControl/>
              <w:spacing w:line="234" w:lineRule="atLeast"/>
              <w:ind w:firstLine="0"/>
              <w:jc w:val="left"/>
              <w:rPr>
                <w:rFonts w:ascii="Times New Roman" w:hAnsi="Times New Roman" w:eastAsia="仿宋"/>
                <w:kern w:val="0"/>
                <w:sz w:val="24"/>
                <w:lang w:bidi="ar"/>
              </w:rPr>
            </w:pPr>
            <w:r>
              <w:rPr>
                <w:rFonts w:ascii="Times New Roman" w:hAnsi="Times New Roman" w:eastAsia="仿宋"/>
                <w:sz w:val="24"/>
              </w:rPr>
              <w:t>浙江工商大学2025年–2026年校车租赁（标项一：2025-2026年度（小车）车辆租赁服务（9座及以下））</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widowControl/>
              <w:spacing w:line="234" w:lineRule="atLeast"/>
              <w:ind w:firstLine="0"/>
              <w:jc w:val="left"/>
              <w:rPr>
                <w:rFonts w:ascii="Times New Roman" w:hAnsi="Times New Roman" w:eastAsia="仿宋"/>
                <w:kern w:val="0"/>
                <w:sz w:val="24"/>
                <w:lang w:bidi="ar"/>
              </w:rPr>
            </w:pPr>
            <w:r>
              <w:rPr>
                <w:rFonts w:ascii="Times New Roman" w:hAnsi="Times New Roman" w:eastAsia="等线"/>
                <w:color w:val="000000"/>
                <w:sz w:val="22"/>
                <w:szCs w:val="22"/>
              </w:rPr>
              <w:t>440.00</w:t>
            </w:r>
          </w:p>
        </w:tc>
        <w:tc>
          <w:tcPr>
            <w:tcW w:w="1590"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widowControl/>
              <w:spacing w:line="234" w:lineRule="atLeast"/>
              <w:ind w:firstLine="0"/>
              <w:jc w:val="center"/>
              <w:rPr>
                <w:rFonts w:ascii="Times New Roman" w:hAnsi="Times New Roman" w:eastAsia="仿宋"/>
                <w:kern w:val="0"/>
                <w:sz w:val="24"/>
                <w:lang w:bidi="ar"/>
              </w:rPr>
            </w:pPr>
            <w:r>
              <w:rPr>
                <w:rFonts w:ascii="Times New Roman" w:hAnsi="Times New Roman" w:eastAsia="仿宋"/>
                <w:color w:val="000000"/>
                <w:sz w:val="24"/>
              </w:rPr>
              <w:t>公开招标</w:t>
            </w:r>
          </w:p>
        </w:tc>
      </w:tr>
      <w:tr>
        <w:tblPrEx>
          <w:tblLayout w:type="fixed"/>
          <w:tblCellMar>
            <w:top w:w="0" w:type="dxa"/>
            <w:left w:w="0" w:type="dxa"/>
            <w:bottom w:w="0" w:type="dxa"/>
            <w:right w:w="0" w:type="dxa"/>
          </w:tblCellMar>
        </w:tblPrEx>
        <w:trPr>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numPr>
                <w:ilvl w:val="0"/>
                <w:numId w:val="1"/>
              </w:numPr>
              <w:suppressAutoHyphens/>
              <w:spacing w:line="234" w:lineRule="atLeast"/>
              <w:jc w:val="center"/>
              <w:rPr>
                <w:rFonts w:ascii="Times New Roman" w:hAnsi="Times New Roman" w:eastAsia="仿宋"/>
                <w:kern w:val="0"/>
                <w:sz w:val="24"/>
                <w:lang w:bidi="ar"/>
              </w:rPr>
            </w:pPr>
          </w:p>
        </w:tc>
        <w:tc>
          <w:tcPr>
            <w:tcW w:w="5498" w:type="dxa"/>
            <w:tcBorders>
              <w:top w:val="nil"/>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widowControl/>
              <w:spacing w:line="234" w:lineRule="atLeast"/>
              <w:ind w:firstLine="0"/>
              <w:jc w:val="left"/>
              <w:rPr>
                <w:rFonts w:ascii="Times New Roman" w:hAnsi="Times New Roman" w:eastAsia="仿宋"/>
                <w:kern w:val="0"/>
                <w:sz w:val="24"/>
                <w:lang w:bidi="ar"/>
              </w:rPr>
            </w:pPr>
            <w:r>
              <w:rPr>
                <w:rFonts w:ascii="Times New Roman" w:hAnsi="Times New Roman" w:eastAsia="仿宋"/>
                <w:sz w:val="24"/>
              </w:rPr>
              <w:t>浙江工商大学跨境电商教育平台</w:t>
            </w:r>
          </w:p>
        </w:tc>
        <w:tc>
          <w:tcPr>
            <w:tcW w:w="1134" w:type="dxa"/>
            <w:tcBorders>
              <w:top w:val="nil"/>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widowControl/>
              <w:spacing w:line="234" w:lineRule="atLeast"/>
              <w:ind w:firstLine="0"/>
              <w:jc w:val="left"/>
              <w:rPr>
                <w:rFonts w:ascii="Times New Roman" w:hAnsi="Times New Roman" w:eastAsia="仿宋"/>
                <w:kern w:val="0"/>
                <w:sz w:val="24"/>
                <w:lang w:bidi="ar"/>
              </w:rPr>
            </w:pPr>
            <w:r>
              <w:rPr>
                <w:rFonts w:ascii="Times New Roman" w:hAnsi="Times New Roman" w:eastAsia="等线"/>
                <w:color w:val="000000"/>
                <w:sz w:val="22"/>
                <w:szCs w:val="22"/>
              </w:rPr>
              <w:t>100.20</w:t>
            </w:r>
          </w:p>
        </w:tc>
        <w:tc>
          <w:tcPr>
            <w:tcW w:w="1590" w:type="dxa"/>
            <w:tcBorders>
              <w:top w:val="nil"/>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widowControl/>
              <w:spacing w:line="234" w:lineRule="atLeast"/>
              <w:ind w:firstLine="0"/>
              <w:jc w:val="center"/>
              <w:rPr>
                <w:rFonts w:ascii="Times New Roman" w:hAnsi="Times New Roman" w:eastAsia="仿宋"/>
                <w:kern w:val="0"/>
                <w:sz w:val="24"/>
                <w:lang w:bidi="ar"/>
              </w:rPr>
            </w:pPr>
            <w:r>
              <w:rPr>
                <w:rFonts w:ascii="Times New Roman" w:hAnsi="Times New Roman" w:eastAsia="仿宋"/>
                <w:sz w:val="24"/>
              </w:rPr>
              <w:t>竞争性磋商</w:t>
            </w:r>
          </w:p>
        </w:tc>
      </w:tr>
      <w:tr>
        <w:tblPrEx>
          <w:tblLayout w:type="fixed"/>
          <w:tblCellMar>
            <w:top w:w="0" w:type="dxa"/>
            <w:left w:w="0" w:type="dxa"/>
            <w:bottom w:w="0" w:type="dxa"/>
            <w:right w:w="0" w:type="dxa"/>
          </w:tblCellMar>
        </w:tblPrEx>
        <w:trPr>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numPr>
                <w:ilvl w:val="0"/>
                <w:numId w:val="1"/>
              </w:numPr>
              <w:suppressAutoHyphens/>
              <w:spacing w:line="234" w:lineRule="atLeast"/>
              <w:jc w:val="center"/>
              <w:rPr>
                <w:rFonts w:ascii="Times New Roman" w:hAnsi="Times New Roman" w:eastAsia="仿宋"/>
                <w:kern w:val="0"/>
                <w:sz w:val="24"/>
                <w:lang w:bidi="ar"/>
              </w:rPr>
            </w:pPr>
          </w:p>
        </w:tc>
        <w:tc>
          <w:tcPr>
            <w:tcW w:w="5498" w:type="dxa"/>
            <w:tcBorders>
              <w:top w:val="nil"/>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widowControl/>
              <w:spacing w:line="234" w:lineRule="atLeast"/>
              <w:ind w:firstLine="0"/>
              <w:jc w:val="left"/>
              <w:rPr>
                <w:rFonts w:ascii="Times New Roman" w:hAnsi="Times New Roman" w:eastAsia="仿宋"/>
                <w:kern w:val="0"/>
                <w:sz w:val="24"/>
                <w:lang w:bidi="ar"/>
              </w:rPr>
            </w:pPr>
            <w:r>
              <w:rPr>
                <w:rFonts w:ascii="Times New Roman" w:hAnsi="Times New Roman" w:eastAsia="仿宋"/>
                <w:sz w:val="24"/>
              </w:rPr>
              <w:t>浙江工商大学课堂教学资源二期建设</w:t>
            </w:r>
          </w:p>
        </w:tc>
        <w:tc>
          <w:tcPr>
            <w:tcW w:w="1134" w:type="dxa"/>
            <w:tcBorders>
              <w:top w:val="nil"/>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widowControl/>
              <w:spacing w:line="234" w:lineRule="atLeast"/>
              <w:ind w:firstLine="0"/>
              <w:jc w:val="left"/>
              <w:rPr>
                <w:rFonts w:ascii="Times New Roman" w:hAnsi="Times New Roman" w:eastAsia="仿宋"/>
                <w:kern w:val="0"/>
                <w:sz w:val="24"/>
                <w:lang w:bidi="ar"/>
              </w:rPr>
            </w:pPr>
            <w:r>
              <w:rPr>
                <w:rFonts w:ascii="Times New Roman" w:hAnsi="Times New Roman" w:eastAsia="等线"/>
                <w:color w:val="000000"/>
                <w:sz w:val="22"/>
                <w:szCs w:val="22"/>
              </w:rPr>
              <w:t>194.30</w:t>
            </w:r>
          </w:p>
        </w:tc>
        <w:tc>
          <w:tcPr>
            <w:tcW w:w="1590" w:type="dxa"/>
            <w:tcBorders>
              <w:top w:val="nil"/>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widowControl/>
              <w:spacing w:line="234" w:lineRule="atLeast"/>
              <w:ind w:firstLine="0"/>
              <w:jc w:val="center"/>
              <w:rPr>
                <w:rFonts w:ascii="Times New Roman" w:hAnsi="Times New Roman" w:eastAsia="仿宋"/>
                <w:kern w:val="0"/>
                <w:sz w:val="24"/>
                <w:lang w:bidi="ar"/>
              </w:rPr>
            </w:pPr>
            <w:r>
              <w:rPr>
                <w:rFonts w:ascii="Times New Roman" w:hAnsi="Times New Roman" w:eastAsia="仿宋"/>
                <w:color w:val="000000"/>
                <w:sz w:val="24"/>
              </w:rPr>
              <w:t>公开招标</w:t>
            </w:r>
          </w:p>
        </w:tc>
      </w:tr>
      <w:tr>
        <w:tblPrEx>
          <w:tblLayout w:type="fixed"/>
          <w:tblCellMar>
            <w:top w:w="0" w:type="dxa"/>
            <w:left w:w="0" w:type="dxa"/>
            <w:bottom w:w="0" w:type="dxa"/>
            <w:right w:w="0" w:type="dxa"/>
          </w:tblCellMar>
        </w:tblPrEx>
        <w:trPr>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numPr>
                <w:ilvl w:val="0"/>
                <w:numId w:val="1"/>
              </w:numPr>
              <w:suppressAutoHyphens/>
              <w:spacing w:line="234" w:lineRule="atLeast"/>
              <w:jc w:val="center"/>
              <w:rPr>
                <w:rFonts w:ascii="Times New Roman" w:hAnsi="Times New Roman" w:eastAsia="仿宋"/>
                <w:kern w:val="0"/>
                <w:sz w:val="24"/>
                <w:lang w:bidi="ar"/>
              </w:rPr>
            </w:pPr>
          </w:p>
        </w:tc>
        <w:tc>
          <w:tcPr>
            <w:tcW w:w="5498" w:type="dxa"/>
            <w:tcBorders>
              <w:top w:val="nil"/>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widowControl/>
              <w:spacing w:line="234" w:lineRule="atLeast"/>
              <w:ind w:firstLine="0"/>
              <w:jc w:val="left"/>
              <w:rPr>
                <w:rFonts w:ascii="Times New Roman" w:hAnsi="Times New Roman" w:eastAsia="仿宋"/>
                <w:kern w:val="0"/>
                <w:sz w:val="24"/>
                <w:lang w:bidi="ar"/>
              </w:rPr>
            </w:pPr>
            <w:r>
              <w:rPr>
                <w:rFonts w:ascii="Times New Roman" w:hAnsi="Times New Roman" w:eastAsia="仿宋"/>
                <w:sz w:val="24"/>
              </w:rPr>
              <w:t>浙江工商大学2025年中文纸质图书（标项二：哲学、法学、军事学等社会科学类图书）</w:t>
            </w:r>
          </w:p>
        </w:tc>
        <w:tc>
          <w:tcPr>
            <w:tcW w:w="1134" w:type="dxa"/>
            <w:tcBorders>
              <w:top w:val="nil"/>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widowControl/>
              <w:spacing w:line="234" w:lineRule="atLeast"/>
              <w:ind w:firstLine="0"/>
              <w:jc w:val="left"/>
              <w:rPr>
                <w:rFonts w:ascii="Times New Roman" w:hAnsi="Times New Roman" w:eastAsia="仿宋"/>
                <w:kern w:val="0"/>
                <w:sz w:val="24"/>
                <w:lang w:bidi="ar"/>
              </w:rPr>
            </w:pPr>
            <w:r>
              <w:rPr>
                <w:rFonts w:ascii="Times New Roman" w:hAnsi="Times New Roman" w:eastAsia="等线"/>
                <w:color w:val="000000"/>
                <w:sz w:val="22"/>
                <w:szCs w:val="22"/>
              </w:rPr>
              <w:t>130.00</w:t>
            </w:r>
          </w:p>
        </w:tc>
        <w:tc>
          <w:tcPr>
            <w:tcW w:w="1590" w:type="dxa"/>
            <w:tcBorders>
              <w:top w:val="nil"/>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widowControl/>
              <w:spacing w:line="234" w:lineRule="atLeast"/>
              <w:ind w:firstLine="0"/>
              <w:jc w:val="center"/>
              <w:rPr>
                <w:rFonts w:ascii="Times New Roman" w:hAnsi="Times New Roman" w:eastAsia="仿宋"/>
                <w:kern w:val="0"/>
                <w:sz w:val="24"/>
                <w:lang w:bidi="ar"/>
              </w:rPr>
            </w:pPr>
            <w:r>
              <w:rPr>
                <w:rFonts w:ascii="Times New Roman" w:hAnsi="Times New Roman" w:eastAsia="仿宋"/>
                <w:color w:val="000000"/>
                <w:sz w:val="24"/>
              </w:rPr>
              <w:t>公开招标</w:t>
            </w:r>
          </w:p>
        </w:tc>
      </w:tr>
      <w:tr>
        <w:tblPrEx>
          <w:tblLayout w:type="fixed"/>
          <w:tblCellMar>
            <w:top w:w="0" w:type="dxa"/>
            <w:left w:w="0" w:type="dxa"/>
            <w:bottom w:w="0" w:type="dxa"/>
            <w:right w:w="0" w:type="dxa"/>
          </w:tblCellMar>
        </w:tblPrEx>
        <w:trPr>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numPr>
                <w:ilvl w:val="0"/>
                <w:numId w:val="1"/>
              </w:numPr>
              <w:suppressAutoHyphens/>
              <w:spacing w:line="234" w:lineRule="atLeast"/>
              <w:jc w:val="center"/>
              <w:rPr>
                <w:rFonts w:ascii="Times New Roman" w:hAnsi="Times New Roman" w:eastAsia="仿宋"/>
                <w:kern w:val="0"/>
                <w:sz w:val="24"/>
                <w:lang w:bidi="ar"/>
              </w:rPr>
            </w:pPr>
          </w:p>
        </w:tc>
        <w:tc>
          <w:tcPr>
            <w:tcW w:w="5498" w:type="dxa"/>
            <w:tcBorders>
              <w:top w:val="nil"/>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widowControl/>
              <w:spacing w:line="234" w:lineRule="atLeast"/>
              <w:ind w:firstLine="0"/>
              <w:jc w:val="left"/>
              <w:rPr>
                <w:rFonts w:ascii="Times New Roman" w:hAnsi="Times New Roman" w:eastAsia="仿宋"/>
                <w:kern w:val="0"/>
                <w:sz w:val="24"/>
                <w:lang w:bidi="ar"/>
              </w:rPr>
            </w:pPr>
            <w:r>
              <w:rPr>
                <w:rFonts w:ascii="Times New Roman" w:hAnsi="Times New Roman" w:eastAsia="仿宋"/>
                <w:sz w:val="24"/>
              </w:rPr>
              <w:t>浙江工商大学2025年中文纸质图书（标项一：经济学、管理学、文学等人文科学类图书）</w:t>
            </w:r>
          </w:p>
        </w:tc>
        <w:tc>
          <w:tcPr>
            <w:tcW w:w="1134" w:type="dxa"/>
            <w:tcBorders>
              <w:top w:val="nil"/>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widowControl/>
              <w:spacing w:line="234" w:lineRule="atLeast"/>
              <w:ind w:firstLine="0"/>
              <w:jc w:val="left"/>
              <w:rPr>
                <w:rFonts w:ascii="Times New Roman" w:hAnsi="Times New Roman" w:eastAsia="仿宋"/>
                <w:kern w:val="0"/>
                <w:sz w:val="24"/>
                <w:lang w:bidi="ar"/>
              </w:rPr>
            </w:pPr>
            <w:r>
              <w:rPr>
                <w:rFonts w:ascii="Times New Roman" w:hAnsi="Times New Roman" w:eastAsia="等线"/>
                <w:color w:val="000000"/>
                <w:sz w:val="22"/>
                <w:szCs w:val="22"/>
              </w:rPr>
              <w:t>170.00</w:t>
            </w:r>
          </w:p>
        </w:tc>
        <w:tc>
          <w:tcPr>
            <w:tcW w:w="1590" w:type="dxa"/>
            <w:tcBorders>
              <w:top w:val="nil"/>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widowControl/>
              <w:spacing w:line="234" w:lineRule="atLeast"/>
              <w:ind w:firstLine="0"/>
              <w:jc w:val="center"/>
              <w:rPr>
                <w:rFonts w:ascii="Times New Roman" w:hAnsi="Times New Roman" w:eastAsia="仿宋"/>
                <w:kern w:val="0"/>
                <w:sz w:val="24"/>
                <w:lang w:bidi="ar"/>
              </w:rPr>
            </w:pPr>
            <w:r>
              <w:rPr>
                <w:rFonts w:ascii="Times New Roman" w:hAnsi="Times New Roman" w:eastAsia="仿宋"/>
                <w:color w:val="000000"/>
                <w:sz w:val="24"/>
              </w:rPr>
              <w:t>公开招标</w:t>
            </w:r>
          </w:p>
        </w:tc>
      </w:tr>
      <w:tr>
        <w:tblPrEx>
          <w:tblLayout w:type="fixed"/>
          <w:tblCellMar>
            <w:top w:w="0" w:type="dxa"/>
            <w:left w:w="0" w:type="dxa"/>
            <w:bottom w:w="0" w:type="dxa"/>
            <w:right w:w="0" w:type="dxa"/>
          </w:tblCellMar>
        </w:tblPrEx>
        <w:trPr>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numPr>
                <w:ilvl w:val="0"/>
                <w:numId w:val="1"/>
              </w:numPr>
              <w:suppressAutoHyphens/>
              <w:spacing w:line="234" w:lineRule="atLeast"/>
              <w:jc w:val="center"/>
              <w:rPr>
                <w:rFonts w:ascii="Times New Roman" w:hAnsi="Times New Roman" w:eastAsia="仿宋"/>
                <w:kern w:val="0"/>
                <w:sz w:val="24"/>
                <w:lang w:bidi="ar"/>
              </w:rPr>
            </w:pPr>
          </w:p>
        </w:tc>
        <w:tc>
          <w:tcPr>
            <w:tcW w:w="5498" w:type="dxa"/>
            <w:tcBorders>
              <w:top w:val="nil"/>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widowControl/>
              <w:spacing w:line="234" w:lineRule="atLeast"/>
              <w:ind w:firstLine="0"/>
              <w:jc w:val="left"/>
              <w:rPr>
                <w:rFonts w:ascii="Times New Roman" w:hAnsi="Times New Roman" w:eastAsia="仿宋"/>
                <w:kern w:val="0"/>
                <w:sz w:val="24"/>
                <w:lang w:bidi="ar"/>
              </w:rPr>
            </w:pPr>
            <w:r>
              <w:rPr>
                <w:rFonts w:ascii="Times New Roman" w:hAnsi="Times New Roman" w:eastAsia="仿宋"/>
                <w:sz w:val="24"/>
              </w:rPr>
              <w:t>浙江工商大学未来营养健康与共同富裕计算设备更新-基础保障平台智算中心设备（第二批）</w:t>
            </w:r>
          </w:p>
        </w:tc>
        <w:tc>
          <w:tcPr>
            <w:tcW w:w="1134" w:type="dxa"/>
            <w:tcBorders>
              <w:top w:val="nil"/>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widowControl/>
              <w:spacing w:line="234" w:lineRule="atLeast"/>
              <w:ind w:firstLine="0"/>
              <w:jc w:val="left"/>
              <w:rPr>
                <w:rFonts w:ascii="Times New Roman" w:hAnsi="Times New Roman" w:eastAsia="仿宋"/>
                <w:kern w:val="0"/>
                <w:sz w:val="24"/>
                <w:lang w:bidi="ar"/>
              </w:rPr>
            </w:pPr>
            <w:r>
              <w:rPr>
                <w:rFonts w:ascii="Times New Roman" w:hAnsi="Times New Roman" w:eastAsia="等线"/>
                <w:color w:val="000000"/>
                <w:sz w:val="22"/>
                <w:szCs w:val="22"/>
              </w:rPr>
              <w:t>268.2797</w:t>
            </w:r>
          </w:p>
        </w:tc>
        <w:tc>
          <w:tcPr>
            <w:tcW w:w="1590" w:type="dxa"/>
            <w:tcBorders>
              <w:top w:val="nil"/>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widowControl/>
              <w:spacing w:line="234" w:lineRule="atLeast"/>
              <w:ind w:firstLine="0"/>
              <w:jc w:val="center"/>
              <w:rPr>
                <w:rFonts w:ascii="Times New Roman" w:hAnsi="Times New Roman" w:eastAsia="仿宋"/>
                <w:kern w:val="0"/>
                <w:sz w:val="24"/>
                <w:lang w:bidi="ar"/>
              </w:rPr>
            </w:pPr>
            <w:r>
              <w:rPr>
                <w:rFonts w:ascii="Times New Roman" w:hAnsi="Times New Roman" w:eastAsia="仿宋"/>
                <w:color w:val="000000"/>
                <w:sz w:val="24"/>
              </w:rPr>
              <w:t>公开招标</w:t>
            </w:r>
          </w:p>
        </w:tc>
      </w:tr>
      <w:tr>
        <w:tblPrEx>
          <w:tblLayout w:type="fixed"/>
          <w:tblCellMar>
            <w:top w:w="0" w:type="dxa"/>
            <w:left w:w="0" w:type="dxa"/>
            <w:bottom w:w="0" w:type="dxa"/>
            <w:right w:w="0" w:type="dxa"/>
          </w:tblCellMar>
        </w:tblPrEx>
        <w:trPr>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numPr>
                <w:ilvl w:val="0"/>
                <w:numId w:val="1"/>
              </w:numPr>
              <w:suppressAutoHyphens/>
              <w:spacing w:line="234" w:lineRule="atLeast"/>
              <w:jc w:val="center"/>
              <w:rPr>
                <w:rFonts w:ascii="Times New Roman" w:hAnsi="Times New Roman" w:eastAsia="仿宋"/>
                <w:kern w:val="0"/>
                <w:sz w:val="24"/>
                <w:lang w:bidi="ar"/>
              </w:rPr>
            </w:pPr>
          </w:p>
        </w:tc>
        <w:tc>
          <w:tcPr>
            <w:tcW w:w="5498" w:type="dxa"/>
            <w:tcBorders>
              <w:top w:val="nil"/>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widowControl/>
              <w:spacing w:line="234" w:lineRule="atLeast"/>
              <w:ind w:firstLine="0"/>
              <w:jc w:val="left"/>
              <w:rPr>
                <w:rFonts w:ascii="Times New Roman" w:hAnsi="Times New Roman" w:eastAsia="仿宋"/>
                <w:kern w:val="0"/>
                <w:sz w:val="24"/>
                <w:lang w:bidi="ar"/>
              </w:rPr>
            </w:pPr>
            <w:r>
              <w:rPr>
                <w:rFonts w:ascii="Times New Roman" w:hAnsi="Times New Roman" w:eastAsia="仿宋"/>
                <w:sz w:val="24"/>
              </w:rPr>
              <w:t>浙江工商大学图书馆及江韵阁中央空调节能减排更新改造项目</w:t>
            </w:r>
          </w:p>
        </w:tc>
        <w:tc>
          <w:tcPr>
            <w:tcW w:w="1134" w:type="dxa"/>
            <w:tcBorders>
              <w:top w:val="nil"/>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widowControl/>
              <w:spacing w:line="234" w:lineRule="atLeast"/>
              <w:ind w:firstLine="0"/>
              <w:jc w:val="left"/>
              <w:rPr>
                <w:rFonts w:ascii="Times New Roman" w:hAnsi="Times New Roman" w:eastAsia="仿宋"/>
                <w:kern w:val="0"/>
                <w:sz w:val="24"/>
                <w:lang w:bidi="ar"/>
              </w:rPr>
            </w:pPr>
            <w:r>
              <w:rPr>
                <w:rFonts w:ascii="Times New Roman" w:hAnsi="Times New Roman" w:eastAsia="等线"/>
                <w:color w:val="000000"/>
                <w:sz w:val="22"/>
                <w:szCs w:val="22"/>
              </w:rPr>
              <w:t>426.075</w:t>
            </w:r>
          </w:p>
        </w:tc>
        <w:tc>
          <w:tcPr>
            <w:tcW w:w="1590" w:type="dxa"/>
            <w:tcBorders>
              <w:top w:val="nil"/>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widowControl/>
              <w:spacing w:line="234" w:lineRule="atLeast"/>
              <w:ind w:firstLine="0"/>
              <w:jc w:val="center"/>
              <w:rPr>
                <w:rFonts w:ascii="Times New Roman" w:hAnsi="Times New Roman" w:eastAsia="仿宋"/>
                <w:kern w:val="0"/>
                <w:sz w:val="24"/>
                <w:lang w:bidi="ar"/>
              </w:rPr>
            </w:pPr>
            <w:r>
              <w:rPr>
                <w:rFonts w:ascii="Times New Roman" w:hAnsi="Times New Roman" w:eastAsia="仿宋"/>
                <w:color w:val="000000"/>
                <w:sz w:val="24"/>
              </w:rPr>
              <w:t>公开招标</w:t>
            </w:r>
          </w:p>
        </w:tc>
      </w:tr>
      <w:tr>
        <w:tblPrEx>
          <w:tblLayout w:type="fixed"/>
          <w:tblCellMar>
            <w:top w:w="0" w:type="dxa"/>
            <w:left w:w="0" w:type="dxa"/>
            <w:bottom w:w="0" w:type="dxa"/>
            <w:right w:w="0" w:type="dxa"/>
          </w:tblCellMar>
        </w:tblPrEx>
        <w:trPr>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numPr>
                <w:ilvl w:val="0"/>
                <w:numId w:val="1"/>
              </w:numPr>
              <w:suppressAutoHyphens/>
              <w:spacing w:line="234" w:lineRule="atLeast"/>
              <w:jc w:val="center"/>
              <w:rPr>
                <w:rFonts w:ascii="Times New Roman" w:hAnsi="Times New Roman" w:eastAsia="仿宋"/>
                <w:kern w:val="0"/>
                <w:sz w:val="24"/>
                <w:lang w:bidi="ar"/>
              </w:rPr>
            </w:pPr>
          </w:p>
        </w:tc>
        <w:tc>
          <w:tcPr>
            <w:tcW w:w="5498" w:type="dxa"/>
            <w:tcBorders>
              <w:top w:val="nil"/>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widowControl/>
              <w:spacing w:line="234" w:lineRule="atLeast"/>
              <w:ind w:firstLine="0"/>
              <w:jc w:val="left"/>
              <w:rPr>
                <w:rFonts w:ascii="Times New Roman" w:hAnsi="Times New Roman" w:eastAsia="仿宋"/>
                <w:kern w:val="0"/>
                <w:sz w:val="24"/>
                <w:lang w:bidi="ar"/>
              </w:rPr>
            </w:pPr>
            <w:r>
              <w:rPr>
                <w:rFonts w:ascii="Times New Roman" w:hAnsi="Times New Roman" w:eastAsia="仿宋"/>
                <w:sz w:val="24"/>
              </w:rPr>
              <w:t>浙江工商大学宝盛数智餐厨技术研究中心产品开发分析与中试设备(标项二)</w:t>
            </w:r>
          </w:p>
        </w:tc>
        <w:tc>
          <w:tcPr>
            <w:tcW w:w="1134" w:type="dxa"/>
            <w:tcBorders>
              <w:top w:val="nil"/>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widowControl/>
              <w:spacing w:line="234" w:lineRule="atLeast"/>
              <w:ind w:firstLine="0"/>
              <w:jc w:val="left"/>
              <w:rPr>
                <w:rFonts w:ascii="Times New Roman" w:hAnsi="Times New Roman" w:eastAsia="仿宋"/>
                <w:kern w:val="0"/>
                <w:sz w:val="24"/>
                <w:lang w:bidi="ar"/>
              </w:rPr>
            </w:pPr>
            <w:r>
              <w:rPr>
                <w:rFonts w:ascii="Times New Roman" w:hAnsi="Times New Roman" w:eastAsia="等线"/>
                <w:color w:val="000000"/>
                <w:sz w:val="22"/>
                <w:szCs w:val="22"/>
              </w:rPr>
              <w:t>122.117</w:t>
            </w:r>
          </w:p>
        </w:tc>
        <w:tc>
          <w:tcPr>
            <w:tcW w:w="1590" w:type="dxa"/>
            <w:tcBorders>
              <w:top w:val="nil"/>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widowControl/>
              <w:spacing w:line="234" w:lineRule="atLeast"/>
              <w:ind w:firstLine="0"/>
              <w:jc w:val="center"/>
              <w:rPr>
                <w:rFonts w:ascii="Times New Roman" w:hAnsi="Times New Roman" w:eastAsia="仿宋"/>
                <w:kern w:val="0"/>
                <w:sz w:val="24"/>
                <w:lang w:bidi="ar"/>
              </w:rPr>
            </w:pPr>
            <w:r>
              <w:rPr>
                <w:rFonts w:ascii="Times New Roman" w:hAnsi="Times New Roman" w:eastAsia="仿宋"/>
                <w:color w:val="000000"/>
                <w:sz w:val="24"/>
              </w:rPr>
              <w:t>公开招标</w:t>
            </w:r>
          </w:p>
        </w:tc>
      </w:tr>
      <w:tr>
        <w:tblPrEx>
          <w:tblLayout w:type="fixed"/>
          <w:tblCellMar>
            <w:top w:w="0" w:type="dxa"/>
            <w:left w:w="0" w:type="dxa"/>
            <w:bottom w:w="0" w:type="dxa"/>
            <w:right w:w="0" w:type="dxa"/>
          </w:tblCellMar>
        </w:tblPrEx>
        <w:trPr>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numPr>
                <w:ilvl w:val="0"/>
                <w:numId w:val="1"/>
              </w:numPr>
              <w:suppressAutoHyphens/>
              <w:spacing w:line="234" w:lineRule="atLeast"/>
              <w:jc w:val="center"/>
              <w:rPr>
                <w:rFonts w:ascii="Times New Roman" w:hAnsi="Times New Roman" w:eastAsia="仿宋"/>
                <w:kern w:val="0"/>
                <w:sz w:val="24"/>
                <w:lang w:bidi="ar"/>
              </w:rPr>
            </w:pPr>
          </w:p>
        </w:tc>
        <w:tc>
          <w:tcPr>
            <w:tcW w:w="5498" w:type="dxa"/>
            <w:tcBorders>
              <w:top w:val="nil"/>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widowControl/>
              <w:spacing w:line="234" w:lineRule="atLeast"/>
              <w:ind w:firstLine="0"/>
              <w:jc w:val="left"/>
              <w:rPr>
                <w:rFonts w:ascii="Times New Roman" w:hAnsi="Times New Roman" w:eastAsia="仿宋"/>
                <w:kern w:val="0"/>
                <w:sz w:val="24"/>
                <w:lang w:bidi="ar"/>
              </w:rPr>
            </w:pPr>
            <w:r>
              <w:rPr>
                <w:rFonts w:ascii="Times New Roman" w:hAnsi="Times New Roman" w:eastAsia="仿宋"/>
                <w:sz w:val="24"/>
              </w:rPr>
              <w:t>浙江工商大学宝盛数智餐厨技术研究中心产品开发分析与中试设备(标项一)</w:t>
            </w:r>
          </w:p>
        </w:tc>
        <w:tc>
          <w:tcPr>
            <w:tcW w:w="1134" w:type="dxa"/>
            <w:tcBorders>
              <w:top w:val="nil"/>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widowControl/>
              <w:spacing w:line="234" w:lineRule="atLeast"/>
              <w:ind w:firstLine="0"/>
              <w:jc w:val="left"/>
              <w:rPr>
                <w:rFonts w:ascii="Times New Roman" w:hAnsi="Times New Roman" w:eastAsia="仿宋"/>
                <w:kern w:val="0"/>
                <w:sz w:val="24"/>
                <w:lang w:bidi="ar"/>
              </w:rPr>
            </w:pPr>
            <w:r>
              <w:rPr>
                <w:rFonts w:ascii="Times New Roman" w:hAnsi="Times New Roman" w:eastAsia="等线"/>
                <w:color w:val="000000"/>
                <w:sz w:val="22"/>
                <w:szCs w:val="22"/>
              </w:rPr>
              <w:t>127.5888</w:t>
            </w:r>
          </w:p>
        </w:tc>
        <w:tc>
          <w:tcPr>
            <w:tcW w:w="1590" w:type="dxa"/>
            <w:tcBorders>
              <w:top w:val="nil"/>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widowControl/>
              <w:spacing w:line="234" w:lineRule="atLeast"/>
              <w:ind w:firstLine="0"/>
              <w:jc w:val="center"/>
              <w:rPr>
                <w:rFonts w:ascii="Times New Roman" w:hAnsi="Times New Roman" w:eastAsia="仿宋"/>
                <w:kern w:val="0"/>
                <w:sz w:val="24"/>
                <w:lang w:bidi="ar"/>
              </w:rPr>
            </w:pPr>
            <w:r>
              <w:rPr>
                <w:rFonts w:ascii="Times New Roman" w:hAnsi="Times New Roman" w:eastAsia="仿宋"/>
                <w:color w:val="000000"/>
                <w:sz w:val="24"/>
              </w:rPr>
              <w:t>公开招标</w:t>
            </w:r>
          </w:p>
        </w:tc>
      </w:tr>
      <w:tr>
        <w:tblPrEx>
          <w:tblLayout w:type="fixed"/>
          <w:tblCellMar>
            <w:top w:w="0" w:type="dxa"/>
            <w:left w:w="0" w:type="dxa"/>
            <w:bottom w:w="0" w:type="dxa"/>
            <w:right w:w="0" w:type="dxa"/>
          </w:tblCellMar>
        </w:tblPrEx>
        <w:trPr>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numPr>
                <w:ilvl w:val="0"/>
                <w:numId w:val="1"/>
              </w:numPr>
              <w:suppressAutoHyphens/>
              <w:spacing w:line="234" w:lineRule="atLeast"/>
              <w:jc w:val="center"/>
              <w:rPr>
                <w:rFonts w:ascii="Times New Roman" w:hAnsi="Times New Roman" w:eastAsia="仿宋"/>
                <w:kern w:val="0"/>
                <w:sz w:val="24"/>
                <w:lang w:bidi="ar"/>
              </w:rPr>
            </w:pPr>
          </w:p>
        </w:tc>
        <w:tc>
          <w:tcPr>
            <w:tcW w:w="5498" w:type="dxa"/>
            <w:tcBorders>
              <w:top w:val="nil"/>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widowControl/>
              <w:spacing w:line="234" w:lineRule="atLeast"/>
              <w:ind w:firstLine="0"/>
              <w:jc w:val="left"/>
              <w:rPr>
                <w:rFonts w:ascii="Times New Roman" w:hAnsi="Times New Roman" w:eastAsia="仿宋"/>
                <w:kern w:val="0"/>
                <w:sz w:val="24"/>
                <w:lang w:bidi="ar"/>
              </w:rPr>
            </w:pPr>
            <w:r>
              <w:rPr>
                <w:rFonts w:ascii="Times New Roman" w:hAnsi="Times New Roman" w:eastAsia="仿宋"/>
                <w:sz w:val="24"/>
              </w:rPr>
              <w:t>浙江工商大学图书馆Elsevier数据库、CNRDS数据库项目（标项一：ELSEVIER数据库）</w:t>
            </w:r>
          </w:p>
        </w:tc>
        <w:tc>
          <w:tcPr>
            <w:tcW w:w="1134" w:type="dxa"/>
            <w:tcBorders>
              <w:top w:val="nil"/>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widowControl/>
              <w:spacing w:line="234" w:lineRule="atLeast"/>
              <w:ind w:firstLine="0"/>
              <w:jc w:val="left"/>
              <w:rPr>
                <w:rFonts w:ascii="Times New Roman" w:hAnsi="Times New Roman" w:eastAsia="仿宋"/>
                <w:kern w:val="0"/>
                <w:sz w:val="24"/>
                <w:lang w:bidi="ar"/>
              </w:rPr>
            </w:pPr>
            <w:r>
              <w:rPr>
                <w:rFonts w:ascii="Times New Roman" w:hAnsi="Times New Roman" w:eastAsia="等线"/>
                <w:color w:val="000000"/>
                <w:sz w:val="22"/>
                <w:szCs w:val="22"/>
              </w:rPr>
              <w:t>465.00</w:t>
            </w:r>
          </w:p>
        </w:tc>
        <w:tc>
          <w:tcPr>
            <w:tcW w:w="1590" w:type="dxa"/>
            <w:tcBorders>
              <w:top w:val="nil"/>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widowControl/>
              <w:spacing w:line="234" w:lineRule="atLeast"/>
              <w:ind w:firstLine="0"/>
              <w:jc w:val="center"/>
              <w:rPr>
                <w:rFonts w:ascii="Times New Roman" w:hAnsi="Times New Roman" w:eastAsia="仿宋"/>
                <w:kern w:val="0"/>
                <w:sz w:val="24"/>
                <w:lang w:bidi="ar"/>
              </w:rPr>
            </w:pPr>
            <w:r>
              <w:rPr>
                <w:rFonts w:ascii="Times New Roman" w:hAnsi="Times New Roman" w:eastAsia="仿宋"/>
                <w:sz w:val="24"/>
              </w:rPr>
              <w:t>单一来源</w:t>
            </w:r>
          </w:p>
        </w:tc>
      </w:tr>
      <w:tr>
        <w:tblPrEx>
          <w:tblLayout w:type="fixed"/>
          <w:tblCellMar>
            <w:top w:w="0" w:type="dxa"/>
            <w:left w:w="0" w:type="dxa"/>
            <w:bottom w:w="0" w:type="dxa"/>
            <w:right w:w="0" w:type="dxa"/>
          </w:tblCellMar>
        </w:tblPrEx>
        <w:trPr>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numPr>
                <w:ilvl w:val="0"/>
                <w:numId w:val="1"/>
              </w:numPr>
              <w:suppressAutoHyphens/>
              <w:spacing w:line="234" w:lineRule="atLeast"/>
              <w:jc w:val="center"/>
              <w:rPr>
                <w:rFonts w:ascii="Times New Roman" w:hAnsi="Times New Roman" w:eastAsia="仿宋"/>
                <w:kern w:val="0"/>
                <w:sz w:val="24"/>
                <w:lang w:bidi="ar"/>
              </w:rPr>
            </w:pPr>
          </w:p>
        </w:tc>
        <w:tc>
          <w:tcPr>
            <w:tcW w:w="5498" w:type="dxa"/>
            <w:tcBorders>
              <w:top w:val="nil"/>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widowControl/>
              <w:spacing w:line="234" w:lineRule="atLeast"/>
              <w:ind w:firstLine="0"/>
              <w:jc w:val="left"/>
              <w:rPr>
                <w:rFonts w:ascii="Times New Roman" w:hAnsi="Times New Roman" w:eastAsia="仿宋"/>
                <w:kern w:val="0"/>
                <w:sz w:val="24"/>
                <w:lang w:bidi="ar"/>
              </w:rPr>
            </w:pPr>
            <w:r>
              <w:rPr>
                <w:rFonts w:ascii="Times New Roman" w:hAnsi="Times New Roman" w:eastAsia="仿宋"/>
                <w:sz w:val="24"/>
              </w:rPr>
              <w:t>浙江工商大学未来营养健康与共同富裕计算设备更新-未来营养健康（第一批）（标项四）</w:t>
            </w:r>
          </w:p>
        </w:tc>
        <w:tc>
          <w:tcPr>
            <w:tcW w:w="1134" w:type="dxa"/>
            <w:tcBorders>
              <w:top w:val="nil"/>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widowControl/>
              <w:spacing w:line="234" w:lineRule="atLeast"/>
              <w:ind w:firstLine="0"/>
              <w:jc w:val="left"/>
              <w:rPr>
                <w:rFonts w:ascii="Times New Roman" w:hAnsi="Times New Roman" w:eastAsia="仿宋"/>
                <w:kern w:val="0"/>
                <w:sz w:val="24"/>
                <w:lang w:bidi="ar"/>
              </w:rPr>
            </w:pPr>
            <w:r>
              <w:rPr>
                <w:rFonts w:ascii="Times New Roman" w:hAnsi="Times New Roman" w:eastAsia="等线"/>
                <w:color w:val="000000"/>
                <w:sz w:val="22"/>
                <w:szCs w:val="22"/>
              </w:rPr>
              <w:t>349.00</w:t>
            </w:r>
          </w:p>
        </w:tc>
        <w:tc>
          <w:tcPr>
            <w:tcW w:w="1590" w:type="dxa"/>
            <w:tcBorders>
              <w:top w:val="nil"/>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widowControl/>
              <w:spacing w:line="234" w:lineRule="atLeast"/>
              <w:ind w:firstLine="0"/>
              <w:jc w:val="center"/>
              <w:rPr>
                <w:rFonts w:ascii="Times New Roman" w:hAnsi="Times New Roman" w:eastAsia="仿宋"/>
                <w:kern w:val="0"/>
                <w:sz w:val="24"/>
                <w:lang w:bidi="ar"/>
              </w:rPr>
            </w:pPr>
            <w:r>
              <w:rPr>
                <w:rFonts w:ascii="Times New Roman" w:hAnsi="Times New Roman" w:eastAsia="仿宋"/>
                <w:color w:val="000000"/>
                <w:sz w:val="24"/>
              </w:rPr>
              <w:t>公开招标</w:t>
            </w:r>
          </w:p>
        </w:tc>
      </w:tr>
      <w:tr>
        <w:tblPrEx>
          <w:tblLayout w:type="fixed"/>
          <w:tblCellMar>
            <w:top w:w="0" w:type="dxa"/>
            <w:left w:w="0" w:type="dxa"/>
            <w:bottom w:w="0" w:type="dxa"/>
            <w:right w:w="0" w:type="dxa"/>
          </w:tblCellMar>
        </w:tblPrEx>
        <w:trPr>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numPr>
                <w:ilvl w:val="0"/>
                <w:numId w:val="1"/>
              </w:numPr>
              <w:suppressAutoHyphens/>
              <w:spacing w:line="234" w:lineRule="atLeast"/>
              <w:jc w:val="center"/>
              <w:rPr>
                <w:rFonts w:ascii="Times New Roman" w:hAnsi="Times New Roman" w:eastAsia="仿宋"/>
                <w:kern w:val="0"/>
                <w:sz w:val="24"/>
                <w:lang w:bidi="ar"/>
              </w:rPr>
            </w:pPr>
          </w:p>
        </w:tc>
        <w:tc>
          <w:tcPr>
            <w:tcW w:w="5498" w:type="dxa"/>
            <w:tcBorders>
              <w:top w:val="nil"/>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widowControl/>
              <w:spacing w:line="234" w:lineRule="atLeast"/>
              <w:ind w:firstLine="0"/>
              <w:jc w:val="left"/>
              <w:rPr>
                <w:rFonts w:ascii="Times New Roman" w:hAnsi="Times New Roman" w:eastAsia="仿宋"/>
                <w:kern w:val="0"/>
                <w:sz w:val="24"/>
                <w:lang w:bidi="ar"/>
              </w:rPr>
            </w:pPr>
            <w:r>
              <w:rPr>
                <w:rFonts w:ascii="Times New Roman" w:hAnsi="Times New Roman" w:eastAsia="仿宋"/>
                <w:sz w:val="24"/>
              </w:rPr>
              <w:t>浙江工商大学未来营养健康与共同富裕计算设备更新-未来营养健康（第一批）（标项三）</w:t>
            </w:r>
          </w:p>
        </w:tc>
        <w:tc>
          <w:tcPr>
            <w:tcW w:w="1134" w:type="dxa"/>
            <w:tcBorders>
              <w:top w:val="nil"/>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widowControl/>
              <w:spacing w:line="234" w:lineRule="atLeast"/>
              <w:ind w:firstLine="0"/>
              <w:jc w:val="left"/>
              <w:rPr>
                <w:rFonts w:ascii="Times New Roman" w:hAnsi="Times New Roman" w:eastAsia="仿宋"/>
                <w:kern w:val="0"/>
                <w:sz w:val="24"/>
                <w:lang w:bidi="ar"/>
              </w:rPr>
            </w:pPr>
            <w:r>
              <w:rPr>
                <w:rFonts w:ascii="Times New Roman" w:hAnsi="Times New Roman" w:eastAsia="等线"/>
                <w:color w:val="000000"/>
                <w:sz w:val="22"/>
                <w:szCs w:val="22"/>
              </w:rPr>
              <w:t>1128.08</w:t>
            </w:r>
          </w:p>
        </w:tc>
        <w:tc>
          <w:tcPr>
            <w:tcW w:w="1590" w:type="dxa"/>
            <w:tcBorders>
              <w:top w:val="nil"/>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widowControl/>
              <w:spacing w:line="234" w:lineRule="atLeast"/>
              <w:ind w:firstLine="0"/>
              <w:jc w:val="center"/>
              <w:rPr>
                <w:rFonts w:ascii="Times New Roman" w:hAnsi="Times New Roman" w:eastAsia="仿宋"/>
                <w:kern w:val="0"/>
                <w:sz w:val="24"/>
                <w:lang w:bidi="ar"/>
              </w:rPr>
            </w:pPr>
            <w:r>
              <w:rPr>
                <w:rFonts w:ascii="Times New Roman" w:hAnsi="Times New Roman" w:eastAsia="仿宋"/>
                <w:color w:val="000000"/>
                <w:sz w:val="24"/>
              </w:rPr>
              <w:t>公开招标</w:t>
            </w:r>
          </w:p>
        </w:tc>
      </w:tr>
      <w:tr>
        <w:tblPrEx>
          <w:tblLayout w:type="fixed"/>
          <w:tblCellMar>
            <w:top w:w="0" w:type="dxa"/>
            <w:left w:w="0" w:type="dxa"/>
            <w:bottom w:w="0" w:type="dxa"/>
            <w:right w:w="0" w:type="dxa"/>
          </w:tblCellMar>
        </w:tblPrEx>
        <w:trPr>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numPr>
                <w:ilvl w:val="0"/>
                <w:numId w:val="1"/>
              </w:numPr>
              <w:suppressAutoHyphens/>
              <w:spacing w:line="234" w:lineRule="atLeast"/>
              <w:jc w:val="center"/>
              <w:rPr>
                <w:rFonts w:ascii="Times New Roman" w:hAnsi="Times New Roman" w:eastAsia="仿宋"/>
                <w:kern w:val="0"/>
                <w:sz w:val="24"/>
                <w:lang w:bidi="ar"/>
              </w:rPr>
            </w:pPr>
          </w:p>
        </w:tc>
        <w:tc>
          <w:tcPr>
            <w:tcW w:w="5498" w:type="dxa"/>
            <w:tcBorders>
              <w:top w:val="nil"/>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widowControl/>
              <w:spacing w:line="234" w:lineRule="atLeast"/>
              <w:ind w:firstLine="0"/>
              <w:jc w:val="left"/>
              <w:rPr>
                <w:rFonts w:ascii="Times New Roman" w:hAnsi="Times New Roman" w:eastAsia="仿宋"/>
                <w:kern w:val="0"/>
                <w:sz w:val="24"/>
                <w:lang w:bidi="ar"/>
              </w:rPr>
            </w:pPr>
            <w:r>
              <w:rPr>
                <w:rFonts w:ascii="Times New Roman" w:hAnsi="Times New Roman" w:eastAsia="仿宋"/>
                <w:sz w:val="24"/>
              </w:rPr>
              <w:t>浙江工商大学未来营养健康与共同富裕计算设备更新-未来营养健康（第一批）（标项二）</w:t>
            </w:r>
          </w:p>
        </w:tc>
        <w:tc>
          <w:tcPr>
            <w:tcW w:w="1134" w:type="dxa"/>
            <w:tcBorders>
              <w:top w:val="nil"/>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widowControl/>
              <w:spacing w:line="234" w:lineRule="atLeast"/>
              <w:ind w:firstLine="0"/>
              <w:jc w:val="left"/>
              <w:rPr>
                <w:rFonts w:ascii="Times New Roman" w:hAnsi="Times New Roman" w:eastAsia="仿宋"/>
                <w:kern w:val="0"/>
                <w:sz w:val="24"/>
                <w:lang w:bidi="ar"/>
              </w:rPr>
            </w:pPr>
            <w:r>
              <w:rPr>
                <w:rFonts w:ascii="Times New Roman" w:hAnsi="Times New Roman" w:eastAsia="等线"/>
                <w:color w:val="000000"/>
                <w:sz w:val="22"/>
                <w:szCs w:val="22"/>
              </w:rPr>
              <w:t>474.98</w:t>
            </w:r>
          </w:p>
        </w:tc>
        <w:tc>
          <w:tcPr>
            <w:tcW w:w="1590" w:type="dxa"/>
            <w:tcBorders>
              <w:top w:val="nil"/>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widowControl/>
              <w:spacing w:line="234" w:lineRule="atLeast"/>
              <w:ind w:firstLine="0"/>
              <w:jc w:val="center"/>
              <w:rPr>
                <w:rFonts w:ascii="Times New Roman" w:hAnsi="Times New Roman" w:eastAsia="仿宋"/>
                <w:kern w:val="0"/>
                <w:sz w:val="24"/>
                <w:lang w:bidi="ar"/>
              </w:rPr>
            </w:pPr>
            <w:r>
              <w:rPr>
                <w:rFonts w:ascii="Times New Roman" w:hAnsi="Times New Roman" w:eastAsia="仿宋"/>
                <w:color w:val="000000"/>
                <w:sz w:val="24"/>
              </w:rPr>
              <w:t>公开招标</w:t>
            </w:r>
          </w:p>
        </w:tc>
      </w:tr>
      <w:tr>
        <w:tblPrEx>
          <w:tblLayout w:type="fixed"/>
          <w:tblCellMar>
            <w:top w:w="0" w:type="dxa"/>
            <w:left w:w="0" w:type="dxa"/>
            <w:bottom w:w="0" w:type="dxa"/>
            <w:right w:w="0" w:type="dxa"/>
          </w:tblCellMar>
        </w:tblPrEx>
        <w:trPr>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numPr>
                <w:ilvl w:val="0"/>
                <w:numId w:val="1"/>
              </w:numPr>
              <w:suppressAutoHyphens/>
              <w:spacing w:line="234" w:lineRule="atLeast"/>
              <w:jc w:val="center"/>
              <w:rPr>
                <w:rFonts w:ascii="Times New Roman" w:hAnsi="Times New Roman" w:eastAsia="仿宋"/>
                <w:kern w:val="0"/>
                <w:sz w:val="24"/>
                <w:lang w:bidi="ar"/>
              </w:rPr>
            </w:pPr>
          </w:p>
        </w:tc>
        <w:tc>
          <w:tcPr>
            <w:tcW w:w="5498" w:type="dxa"/>
            <w:tcBorders>
              <w:top w:val="nil"/>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widowControl/>
              <w:spacing w:line="234" w:lineRule="atLeast"/>
              <w:ind w:firstLine="0"/>
              <w:jc w:val="left"/>
              <w:rPr>
                <w:rFonts w:ascii="Times New Roman" w:hAnsi="Times New Roman" w:eastAsia="仿宋"/>
                <w:kern w:val="0"/>
                <w:sz w:val="24"/>
                <w:lang w:bidi="ar"/>
              </w:rPr>
            </w:pPr>
            <w:bookmarkStart w:id="28" w:name="OLE_LINK2"/>
            <w:r>
              <w:rPr>
                <w:rFonts w:ascii="Times New Roman" w:hAnsi="Times New Roman" w:eastAsia="仿宋"/>
                <w:sz w:val="24"/>
              </w:rPr>
              <w:t>浙江工商大学未来营养健康与共同富裕计算设备更新-未来营养健康（第一批）</w:t>
            </w:r>
            <w:bookmarkEnd w:id="28"/>
            <w:r>
              <w:rPr>
                <w:rFonts w:ascii="Times New Roman" w:hAnsi="Times New Roman" w:eastAsia="仿宋"/>
                <w:sz w:val="24"/>
              </w:rPr>
              <w:t>（标项一）</w:t>
            </w:r>
          </w:p>
        </w:tc>
        <w:tc>
          <w:tcPr>
            <w:tcW w:w="1134" w:type="dxa"/>
            <w:tcBorders>
              <w:top w:val="nil"/>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widowControl/>
              <w:spacing w:line="234" w:lineRule="atLeast"/>
              <w:ind w:firstLine="0"/>
              <w:jc w:val="left"/>
              <w:rPr>
                <w:rFonts w:ascii="Times New Roman" w:hAnsi="Times New Roman" w:eastAsia="仿宋"/>
                <w:kern w:val="0"/>
                <w:sz w:val="24"/>
                <w:lang w:bidi="ar"/>
              </w:rPr>
            </w:pPr>
            <w:r>
              <w:rPr>
                <w:rFonts w:ascii="Times New Roman" w:hAnsi="Times New Roman" w:eastAsia="等线"/>
                <w:color w:val="000000"/>
                <w:sz w:val="22"/>
                <w:szCs w:val="22"/>
              </w:rPr>
              <w:t>1183.10</w:t>
            </w:r>
          </w:p>
        </w:tc>
        <w:tc>
          <w:tcPr>
            <w:tcW w:w="1590" w:type="dxa"/>
            <w:tcBorders>
              <w:top w:val="nil"/>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widowControl/>
              <w:spacing w:line="234" w:lineRule="atLeast"/>
              <w:ind w:firstLine="0"/>
              <w:jc w:val="center"/>
              <w:rPr>
                <w:rFonts w:ascii="Times New Roman" w:hAnsi="Times New Roman" w:eastAsia="仿宋"/>
                <w:kern w:val="0"/>
                <w:sz w:val="24"/>
                <w:lang w:bidi="ar"/>
              </w:rPr>
            </w:pPr>
            <w:r>
              <w:rPr>
                <w:rFonts w:ascii="Times New Roman" w:hAnsi="Times New Roman" w:eastAsia="仿宋"/>
                <w:color w:val="000000"/>
                <w:sz w:val="24"/>
              </w:rPr>
              <w:t>公开招标</w:t>
            </w:r>
          </w:p>
        </w:tc>
      </w:tr>
      <w:tr>
        <w:tblPrEx>
          <w:tblLayout w:type="fixed"/>
          <w:tblCellMar>
            <w:top w:w="0" w:type="dxa"/>
            <w:left w:w="0" w:type="dxa"/>
            <w:bottom w:w="0" w:type="dxa"/>
            <w:right w:w="0" w:type="dxa"/>
          </w:tblCellMar>
        </w:tblPrEx>
        <w:trPr>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numPr>
                <w:ilvl w:val="0"/>
                <w:numId w:val="1"/>
              </w:numPr>
              <w:suppressAutoHyphens/>
              <w:spacing w:line="234" w:lineRule="atLeast"/>
              <w:jc w:val="center"/>
              <w:rPr>
                <w:rFonts w:ascii="Times New Roman" w:hAnsi="Times New Roman" w:eastAsia="仿宋"/>
                <w:kern w:val="0"/>
                <w:sz w:val="24"/>
                <w:lang w:bidi="ar"/>
              </w:rPr>
            </w:pPr>
          </w:p>
        </w:tc>
        <w:tc>
          <w:tcPr>
            <w:tcW w:w="5498" w:type="dxa"/>
            <w:tcBorders>
              <w:top w:val="nil"/>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widowControl/>
              <w:spacing w:line="234" w:lineRule="atLeast"/>
              <w:ind w:firstLine="0"/>
              <w:jc w:val="left"/>
              <w:rPr>
                <w:rFonts w:ascii="Times New Roman" w:hAnsi="Times New Roman" w:eastAsia="仿宋"/>
                <w:kern w:val="0"/>
                <w:sz w:val="24"/>
                <w:lang w:bidi="ar"/>
              </w:rPr>
            </w:pPr>
            <w:r>
              <w:rPr>
                <w:rFonts w:ascii="Times New Roman" w:hAnsi="Times New Roman" w:eastAsia="仿宋"/>
                <w:sz w:val="24"/>
              </w:rPr>
              <w:t>浙江工商大学未来营养健康与共同富裕计算设备更新-基础保障平台智算中心设备（第一批）</w:t>
            </w:r>
          </w:p>
        </w:tc>
        <w:tc>
          <w:tcPr>
            <w:tcW w:w="1134" w:type="dxa"/>
            <w:tcBorders>
              <w:top w:val="nil"/>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widowControl/>
              <w:spacing w:line="234" w:lineRule="atLeast"/>
              <w:ind w:firstLine="0"/>
              <w:jc w:val="left"/>
              <w:rPr>
                <w:rFonts w:ascii="Times New Roman" w:hAnsi="Times New Roman" w:eastAsia="仿宋"/>
                <w:kern w:val="0"/>
                <w:sz w:val="24"/>
                <w:lang w:bidi="ar"/>
              </w:rPr>
            </w:pPr>
            <w:r>
              <w:rPr>
                <w:rFonts w:ascii="Times New Roman" w:hAnsi="Times New Roman" w:eastAsia="等线"/>
                <w:color w:val="000000"/>
                <w:sz w:val="22"/>
                <w:szCs w:val="22"/>
              </w:rPr>
              <w:t>2153.68</w:t>
            </w:r>
          </w:p>
        </w:tc>
        <w:tc>
          <w:tcPr>
            <w:tcW w:w="1590" w:type="dxa"/>
            <w:tcBorders>
              <w:top w:val="nil"/>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widowControl/>
              <w:spacing w:line="234" w:lineRule="atLeast"/>
              <w:ind w:firstLine="0"/>
              <w:jc w:val="center"/>
              <w:rPr>
                <w:rFonts w:ascii="Times New Roman" w:hAnsi="Times New Roman" w:eastAsia="仿宋"/>
                <w:kern w:val="0"/>
                <w:sz w:val="24"/>
                <w:lang w:bidi="ar"/>
              </w:rPr>
            </w:pPr>
            <w:r>
              <w:rPr>
                <w:rFonts w:ascii="Times New Roman" w:hAnsi="Times New Roman" w:eastAsia="仿宋"/>
                <w:color w:val="000000"/>
                <w:sz w:val="24"/>
              </w:rPr>
              <w:t>公开招标</w:t>
            </w:r>
          </w:p>
        </w:tc>
      </w:tr>
      <w:tr>
        <w:tblPrEx>
          <w:tblLayout w:type="fixed"/>
          <w:tblCellMar>
            <w:top w:w="0" w:type="dxa"/>
            <w:left w:w="0" w:type="dxa"/>
            <w:bottom w:w="0" w:type="dxa"/>
            <w:right w:w="0" w:type="dxa"/>
          </w:tblCellMar>
        </w:tblPrEx>
        <w:trPr>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numPr>
                <w:ilvl w:val="0"/>
                <w:numId w:val="1"/>
              </w:numPr>
              <w:suppressAutoHyphens/>
              <w:spacing w:line="234" w:lineRule="atLeast"/>
              <w:jc w:val="center"/>
              <w:rPr>
                <w:rFonts w:ascii="Times New Roman" w:hAnsi="Times New Roman" w:eastAsia="仿宋"/>
                <w:kern w:val="0"/>
                <w:sz w:val="24"/>
                <w:lang w:bidi="ar"/>
              </w:rPr>
            </w:pPr>
          </w:p>
        </w:tc>
        <w:tc>
          <w:tcPr>
            <w:tcW w:w="5498" w:type="dxa"/>
            <w:tcBorders>
              <w:top w:val="nil"/>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widowControl/>
              <w:spacing w:line="234" w:lineRule="atLeast"/>
              <w:ind w:firstLine="0"/>
              <w:jc w:val="left"/>
              <w:rPr>
                <w:rFonts w:ascii="Times New Roman" w:hAnsi="Times New Roman" w:eastAsia="仿宋"/>
                <w:kern w:val="0"/>
                <w:sz w:val="24"/>
                <w:lang w:bidi="ar"/>
              </w:rPr>
            </w:pPr>
            <w:r>
              <w:rPr>
                <w:rFonts w:ascii="Times New Roman" w:hAnsi="Times New Roman" w:eastAsia="仿宋"/>
                <w:sz w:val="24"/>
              </w:rPr>
              <w:t>浙江工商大学未来营养健康与共同富裕计算设备更新-共同富裕计算设备（第一批）（标项三）</w:t>
            </w:r>
          </w:p>
        </w:tc>
        <w:tc>
          <w:tcPr>
            <w:tcW w:w="1134" w:type="dxa"/>
            <w:tcBorders>
              <w:top w:val="nil"/>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widowControl/>
              <w:spacing w:line="234" w:lineRule="atLeast"/>
              <w:ind w:firstLine="0"/>
              <w:jc w:val="left"/>
              <w:rPr>
                <w:rFonts w:ascii="Times New Roman" w:hAnsi="Times New Roman" w:eastAsia="仿宋"/>
                <w:kern w:val="0"/>
                <w:sz w:val="24"/>
                <w:lang w:bidi="ar"/>
              </w:rPr>
            </w:pPr>
            <w:r>
              <w:rPr>
                <w:rFonts w:ascii="Times New Roman" w:hAnsi="Times New Roman" w:eastAsia="等线"/>
                <w:color w:val="000000"/>
                <w:sz w:val="22"/>
                <w:szCs w:val="22"/>
              </w:rPr>
              <w:t>147.60</w:t>
            </w:r>
          </w:p>
        </w:tc>
        <w:tc>
          <w:tcPr>
            <w:tcW w:w="1590" w:type="dxa"/>
            <w:tcBorders>
              <w:top w:val="nil"/>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widowControl/>
              <w:spacing w:line="234" w:lineRule="atLeast"/>
              <w:ind w:firstLine="0"/>
              <w:jc w:val="center"/>
              <w:rPr>
                <w:rFonts w:ascii="Times New Roman" w:hAnsi="Times New Roman" w:eastAsia="仿宋"/>
                <w:kern w:val="0"/>
                <w:sz w:val="24"/>
                <w:lang w:bidi="ar"/>
              </w:rPr>
            </w:pPr>
            <w:r>
              <w:rPr>
                <w:rFonts w:ascii="Times New Roman" w:hAnsi="Times New Roman" w:eastAsia="仿宋"/>
                <w:color w:val="000000"/>
                <w:sz w:val="24"/>
              </w:rPr>
              <w:t>公开招标</w:t>
            </w:r>
          </w:p>
        </w:tc>
      </w:tr>
      <w:tr>
        <w:tblPrEx>
          <w:tblLayout w:type="fixed"/>
          <w:tblCellMar>
            <w:top w:w="0" w:type="dxa"/>
            <w:left w:w="0" w:type="dxa"/>
            <w:bottom w:w="0" w:type="dxa"/>
            <w:right w:w="0" w:type="dxa"/>
          </w:tblCellMar>
        </w:tblPrEx>
        <w:trPr>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numPr>
                <w:ilvl w:val="0"/>
                <w:numId w:val="1"/>
              </w:numPr>
              <w:suppressAutoHyphens/>
              <w:spacing w:line="234" w:lineRule="atLeast"/>
              <w:jc w:val="center"/>
              <w:rPr>
                <w:rFonts w:ascii="Times New Roman" w:hAnsi="Times New Roman" w:eastAsia="仿宋"/>
                <w:kern w:val="0"/>
                <w:sz w:val="24"/>
                <w:lang w:bidi="ar"/>
              </w:rPr>
            </w:pPr>
          </w:p>
        </w:tc>
        <w:tc>
          <w:tcPr>
            <w:tcW w:w="5498" w:type="dxa"/>
            <w:tcBorders>
              <w:top w:val="nil"/>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widowControl/>
              <w:spacing w:line="234" w:lineRule="atLeast"/>
              <w:ind w:firstLine="0"/>
              <w:jc w:val="left"/>
              <w:rPr>
                <w:rFonts w:ascii="Times New Roman" w:hAnsi="Times New Roman" w:eastAsia="仿宋"/>
                <w:kern w:val="0"/>
                <w:sz w:val="24"/>
                <w:lang w:bidi="ar"/>
              </w:rPr>
            </w:pPr>
            <w:r>
              <w:rPr>
                <w:rFonts w:ascii="Times New Roman" w:hAnsi="Times New Roman" w:eastAsia="仿宋"/>
                <w:sz w:val="24"/>
              </w:rPr>
              <w:t>浙江工商大学未来营养健康与共同富裕计算设备更新-共同富裕计算设备（第一批）（标项二）</w:t>
            </w:r>
          </w:p>
        </w:tc>
        <w:tc>
          <w:tcPr>
            <w:tcW w:w="1134" w:type="dxa"/>
            <w:tcBorders>
              <w:top w:val="nil"/>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widowControl/>
              <w:spacing w:line="234" w:lineRule="atLeast"/>
              <w:ind w:firstLine="0"/>
              <w:jc w:val="left"/>
              <w:rPr>
                <w:rFonts w:ascii="Times New Roman" w:hAnsi="Times New Roman" w:eastAsia="仿宋"/>
                <w:kern w:val="0"/>
                <w:sz w:val="24"/>
                <w:lang w:bidi="ar"/>
              </w:rPr>
            </w:pPr>
            <w:r>
              <w:rPr>
                <w:rFonts w:ascii="Times New Roman" w:hAnsi="Times New Roman" w:eastAsia="等线"/>
                <w:color w:val="000000"/>
                <w:sz w:val="22"/>
                <w:szCs w:val="22"/>
              </w:rPr>
              <w:t>207.60</w:t>
            </w:r>
          </w:p>
        </w:tc>
        <w:tc>
          <w:tcPr>
            <w:tcW w:w="1590" w:type="dxa"/>
            <w:tcBorders>
              <w:top w:val="nil"/>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widowControl/>
              <w:spacing w:line="234" w:lineRule="atLeast"/>
              <w:ind w:firstLine="0"/>
              <w:jc w:val="center"/>
              <w:rPr>
                <w:rFonts w:ascii="Times New Roman" w:hAnsi="Times New Roman" w:eastAsia="仿宋"/>
                <w:kern w:val="0"/>
                <w:sz w:val="24"/>
                <w:lang w:bidi="ar"/>
              </w:rPr>
            </w:pPr>
            <w:r>
              <w:rPr>
                <w:rFonts w:ascii="Times New Roman" w:hAnsi="Times New Roman" w:eastAsia="仿宋"/>
                <w:color w:val="000000"/>
                <w:sz w:val="24"/>
              </w:rPr>
              <w:t>公开招标</w:t>
            </w:r>
          </w:p>
        </w:tc>
      </w:tr>
      <w:tr>
        <w:tblPrEx>
          <w:tblLayout w:type="fixed"/>
          <w:tblCellMar>
            <w:top w:w="0" w:type="dxa"/>
            <w:left w:w="0" w:type="dxa"/>
            <w:bottom w:w="0" w:type="dxa"/>
            <w:right w:w="0" w:type="dxa"/>
          </w:tblCellMar>
        </w:tblPrEx>
        <w:trPr>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numPr>
                <w:ilvl w:val="0"/>
                <w:numId w:val="1"/>
              </w:numPr>
              <w:suppressAutoHyphens/>
              <w:spacing w:line="234" w:lineRule="atLeast"/>
              <w:jc w:val="center"/>
              <w:rPr>
                <w:rFonts w:ascii="Times New Roman" w:hAnsi="Times New Roman" w:eastAsia="仿宋"/>
                <w:kern w:val="0"/>
                <w:sz w:val="24"/>
                <w:lang w:bidi="ar"/>
              </w:rPr>
            </w:pPr>
          </w:p>
        </w:tc>
        <w:tc>
          <w:tcPr>
            <w:tcW w:w="5498" w:type="dxa"/>
            <w:tcBorders>
              <w:top w:val="nil"/>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widowControl/>
              <w:spacing w:line="234" w:lineRule="atLeast"/>
              <w:ind w:firstLine="0"/>
              <w:jc w:val="left"/>
              <w:rPr>
                <w:rFonts w:ascii="Times New Roman" w:hAnsi="Times New Roman" w:eastAsia="仿宋"/>
                <w:kern w:val="0"/>
                <w:sz w:val="24"/>
                <w:lang w:bidi="ar"/>
              </w:rPr>
            </w:pPr>
            <w:r>
              <w:rPr>
                <w:rFonts w:ascii="Times New Roman" w:hAnsi="Times New Roman" w:eastAsia="仿宋"/>
                <w:sz w:val="24"/>
              </w:rPr>
              <w:t>浙江工商大学专业技术职务岗位晋升第三方同行评审服务</w:t>
            </w:r>
          </w:p>
        </w:tc>
        <w:tc>
          <w:tcPr>
            <w:tcW w:w="1134" w:type="dxa"/>
            <w:tcBorders>
              <w:top w:val="nil"/>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widowControl/>
              <w:spacing w:line="234" w:lineRule="atLeast"/>
              <w:ind w:firstLine="0"/>
              <w:jc w:val="left"/>
              <w:rPr>
                <w:rFonts w:ascii="Times New Roman" w:hAnsi="Times New Roman" w:eastAsia="仿宋"/>
                <w:kern w:val="0"/>
                <w:sz w:val="24"/>
                <w:lang w:bidi="ar"/>
              </w:rPr>
            </w:pPr>
            <w:r>
              <w:rPr>
                <w:rFonts w:ascii="Times New Roman" w:hAnsi="Times New Roman" w:eastAsia="等线"/>
                <w:color w:val="000000"/>
                <w:sz w:val="22"/>
                <w:szCs w:val="22"/>
              </w:rPr>
              <w:t>270.00</w:t>
            </w:r>
          </w:p>
        </w:tc>
        <w:tc>
          <w:tcPr>
            <w:tcW w:w="1590" w:type="dxa"/>
            <w:tcBorders>
              <w:top w:val="nil"/>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widowControl/>
              <w:spacing w:line="234" w:lineRule="atLeast"/>
              <w:ind w:firstLine="0"/>
              <w:jc w:val="center"/>
              <w:rPr>
                <w:rFonts w:ascii="Times New Roman" w:hAnsi="Times New Roman" w:eastAsia="仿宋"/>
                <w:kern w:val="0"/>
                <w:sz w:val="24"/>
                <w:lang w:bidi="ar"/>
              </w:rPr>
            </w:pPr>
            <w:r>
              <w:rPr>
                <w:rFonts w:ascii="Times New Roman" w:hAnsi="Times New Roman" w:eastAsia="仿宋"/>
                <w:sz w:val="24"/>
              </w:rPr>
              <w:t>单一来源</w:t>
            </w:r>
          </w:p>
        </w:tc>
      </w:tr>
      <w:tr>
        <w:tblPrEx>
          <w:tblLayout w:type="fixed"/>
          <w:tblCellMar>
            <w:top w:w="0" w:type="dxa"/>
            <w:left w:w="0" w:type="dxa"/>
            <w:bottom w:w="0" w:type="dxa"/>
            <w:right w:w="0" w:type="dxa"/>
          </w:tblCellMar>
        </w:tblPrEx>
        <w:trPr>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numPr>
                <w:ilvl w:val="0"/>
                <w:numId w:val="1"/>
              </w:numPr>
              <w:suppressAutoHyphens/>
              <w:spacing w:line="234" w:lineRule="atLeast"/>
              <w:jc w:val="center"/>
              <w:rPr>
                <w:rFonts w:ascii="Times New Roman" w:hAnsi="Times New Roman" w:eastAsia="仿宋"/>
                <w:kern w:val="0"/>
                <w:sz w:val="24"/>
                <w:lang w:bidi="ar"/>
              </w:rPr>
            </w:pPr>
          </w:p>
        </w:tc>
        <w:tc>
          <w:tcPr>
            <w:tcW w:w="5498" w:type="dxa"/>
            <w:tcBorders>
              <w:top w:val="nil"/>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widowControl/>
              <w:spacing w:line="234" w:lineRule="atLeast"/>
              <w:ind w:firstLine="0"/>
              <w:jc w:val="left"/>
              <w:rPr>
                <w:rFonts w:ascii="Times New Roman" w:hAnsi="Times New Roman" w:eastAsia="仿宋"/>
                <w:kern w:val="0"/>
                <w:sz w:val="24"/>
                <w:lang w:bidi="ar"/>
              </w:rPr>
            </w:pPr>
            <w:r>
              <w:rPr>
                <w:rFonts w:ascii="Times New Roman" w:hAnsi="Times New Roman" w:eastAsia="仿宋"/>
                <w:sz w:val="24"/>
              </w:rPr>
              <w:t>浙江工商大学2024-2025年度零星维修材料配送服务</w:t>
            </w:r>
          </w:p>
        </w:tc>
        <w:tc>
          <w:tcPr>
            <w:tcW w:w="1134" w:type="dxa"/>
            <w:tcBorders>
              <w:top w:val="nil"/>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widowControl/>
              <w:spacing w:line="234" w:lineRule="atLeast"/>
              <w:ind w:firstLine="0"/>
              <w:jc w:val="left"/>
              <w:rPr>
                <w:rFonts w:ascii="Times New Roman" w:hAnsi="Times New Roman" w:eastAsia="仿宋"/>
                <w:kern w:val="0"/>
                <w:sz w:val="24"/>
                <w:lang w:bidi="ar"/>
              </w:rPr>
            </w:pPr>
            <w:r>
              <w:rPr>
                <w:rFonts w:ascii="Times New Roman" w:hAnsi="Times New Roman" w:eastAsia="等线"/>
                <w:color w:val="000000"/>
                <w:sz w:val="22"/>
                <w:szCs w:val="22"/>
              </w:rPr>
              <w:t>100.00</w:t>
            </w:r>
          </w:p>
        </w:tc>
        <w:tc>
          <w:tcPr>
            <w:tcW w:w="1590" w:type="dxa"/>
            <w:tcBorders>
              <w:top w:val="nil"/>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widowControl/>
              <w:spacing w:line="234" w:lineRule="atLeast"/>
              <w:ind w:firstLine="0"/>
              <w:jc w:val="center"/>
              <w:rPr>
                <w:rFonts w:ascii="Times New Roman" w:hAnsi="Times New Roman" w:eastAsia="仿宋"/>
                <w:kern w:val="0"/>
                <w:sz w:val="24"/>
                <w:lang w:bidi="ar"/>
              </w:rPr>
            </w:pPr>
            <w:r>
              <w:rPr>
                <w:rFonts w:ascii="Times New Roman" w:hAnsi="Times New Roman" w:eastAsia="仿宋"/>
                <w:color w:val="000000"/>
                <w:sz w:val="24"/>
              </w:rPr>
              <w:t>公开招标</w:t>
            </w:r>
          </w:p>
        </w:tc>
      </w:tr>
      <w:tr>
        <w:tblPrEx>
          <w:tblLayout w:type="fixed"/>
          <w:tblCellMar>
            <w:top w:w="0" w:type="dxa"/>
            <w:left w:w="0" w:type="dxa"/>
            <w:bottom w:w="0" w:type="dxa"/>
            <w:right w:w="0" w:type="dxa"/>
          </w:tblCellMar>
        </w:tblPrEx>
        <w:trPr>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numPr>
                <w:ilvl w:val="0"/>
                <w:numId w:val="1"/>
              </w:numPr>
              <w:suppressAutoHyphens/>
              <w:spacing w:line="234" w:lineRule="atLeast"/>
              <w:jc w:val="center"/>
              <w:rPr>
                <w:rFonts w:ascii="Times New Roman" w:hAnsi="Times New Roman" w:eastAsia="仿宋"/>
                <w:kern w:val="0"/>
                <w:sz w:val="24"/>
                <w:lang w:bidi="ar"/>
              </w:rPr>
            </w:pPr>
          </w:p>
        </w:tc>
        <w:tc>
          <w:tcPr>
            <w:tcW w:w="5498" w:type="dxa"/>
            <w:tcBorders>
              <w:top w:val="nil"/>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widowControl/>
              <w:spacing w:line="234" w:lineRule="atLeast"/>
              <w:ind w:firstLine="0"/>
              <w:jc w:val="left"/>
              <w:rPr>
                <w:rFonts w:ascii="Times New Roman" w:hAnsi="Times New Roman" w:eastAsia="仿宋"/>
                <w:kern w:val="0"/>
                <w:sz w:val="24"/>
                <w:lang w:bidi="ar"/>
              </w:rPr>
            </w:pPr>
            <w:r>
              <w:rPr>
                <w:rFonts w:ascii="Times New Roman" w:hAnsi="Times New Roman" w:eastAsia="仿宋"/>
                <w:sz w:val="24"/>
              </w:rPr>
              <w:t>浙江工商大学浙商博物馆装修改造工程</w:t>
            </w:r>
          </w:p>
        </w:tc>
        <w:tc>
          <w:tcPr>
            <w:tcW w:w="1134" w:type="dxa"/>
            <w:tcBorders>
              <w:top w:val="nil"/>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widowControl/>
              <w:spacing w:line="234" w:lineRule="atLeast"/>
              <w:ind w:firstLine="0"/>
              <w:jc w:val="left"/>
              <w:rPr>
                <w:rFonts w:ascii="Times New Roman" w:hAnsi="Times New Roman" w:eastAsia="仿宋"/>
                <w:kern w:val="0"/>
                <w:sz w:val="24"/>
                <w:lang w:bidi="ar"/>
              </w:rPr>
            </w:pPr>
            <w:r>
              <w:rPr>
                <w:rFonts w:ascii="Times New Roman" w:hAnsi="Times New Roman" w:eastAsia="等线"/>
                <w:color w:val="000000"/>
                <w:sz w:val="22"/>
                <w:szCs w:val="22"/>
              </w:rPr>
              <w:t>280.00</w:t>
            </w:r>
          </w:p>
        </w:tc>
        <w:tc>
          <w:tcPr>
            <w:tcW w:w="1590" w:type="dxa"/>
            <w:tcBorders>
              <w:top w:val="nil"/>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widowControl/>
              <w:spacing w:line="234" w:lineRule="atLeast"/>
              <w:ind w:firstLine="0"/>
              <w:jc w:val="center"/>
              <w:rPr>
                <w:rFonts w:ascii="Times New Roman" w:hAnsi="Times New Roman" w:eastAsia="仿宋"/>
                <w:kern w:val="0"/>
                <w:sz w:val="24"/>
                <w:lang w:bidi="ar"/>
              </w:rPr>
            </w:pPr>
            <w:r>
              <w:rPr>
                <w:rFonts w:ascii="Times New Roman" w:hAnsi="Times New Roman" w:eastAsia="仿宋"/>
                <w:sz w:val="24"/>
              </w:rPr>
              <w:t>竞争性磋商</w:t>
            </w:r>
          </w:p>
        </w:tc>
      </w:tr>
      <w:tr>
        <w:tblPrEx>
          <w:tblLayout w:type="fixed"/>
          <w:tblCellMar>
            <w:top w:w="0" w:type="dxa"/>
            <w:left w:w="0" w:type="dxa"/>
            <w:bottom w:w="0" w:type="dxa"/>
            <w:right w:w="0" w:type="dxa"/>
          </w:tblCellMar>
        </w:tblPrEx>
        <w:trPr>
          <w:jc w:val="center"/>
        </w:trPr>
        <w:tc>
          <w:tcPr>
            <w:tcW w:w="636" w:type="dxa"/>
            <w:tcBorders>
              <w:top w:val="single" w:color="000000" w:sz="4" w:space="0"/>
              <w:left w:val="single" w:color="000000" w:sz="4" w:space="0"/>
              <w:bottom w:val="single" w:color="000000" w:sz="4" w:space="0"/>
              <w:right w:val="single" w:color="auto" w:sz="4" w:space="0"/>
            </w:tcBorders>
            <w:shd w:val="clear" w:color="auto" w:fill="auto"/>
            <w:noWrap w:val="0"/>
            <w:tcMar>
              <w:top w:w="15" w:type="dxa"/>
              <w:left w:w="15" w:type="dxa"/>
              <w:right w:w="15" w:type="dxa"/>
            </w:tcMar>
            <w:vAlign w:val="center"/>
          </w:tcPr>
          <w:p>
            <w:pPr>
              <w:widowControl/>
              <w:numPr>
                <w:ilvl w:val="0"/>
                <w:numId w:val="1"/>
              </w:numPr>
              <w:suppressAutoHyphens/>
              <w:spacing w:line="234" w:lineRule="atLeast"/>
              <w:jc w:val="center"/>
              <w:rPr>
                <w:rFonts w:ascii="Times New Roman" w:hAnsi="Times New Roman" w:eastAsia="仿宋"/>
                <w:kern w:val="0"/>
                <w:sz w:val="24"/>
                <w:lang w:bidi="ar"/>
              </w:rPr>
            </w:pPr>
          </w:p>
        </w:tc>
        <w:tc>
          <w:tcPr>
            <w:tcW w:w="5498"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widowControl/>
              <w:spacing w:line="234" w:lineRule="atLeast"/>
              <w:ind w:firstLine="0"/>
              <w:jc w:val="left"/>
              <w:rPr>
                <w:rFonts w:ascii="Times New Roman" w:hAnsi="Times New Roman" w:eastAsia="仿宋"/>
                <w:kern w:val="0"/>
                <w:sz w:val="24"/>
                <w:lang w:bidi="ar"/>
              </w:rPr>
            </w:pPr>
            <w:r>
              <w:rPr>
                <w:rFonts w:ascii="Times New Roman" w:hAnsi="Times New Roman" w:eastAsia="仿宋"/>
                <w:sz w:val="24"/>
              </w:rPr>
              <w:t>浙江工商大学金沙港玉屏洲供配电系统提升改造</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widowControl/>
              <w:spacing w:line="234" w:lineRule="atLeast"/>
              <w:ind w:firstLine="0"/>
              <w:jc w:val="left"/>
              <w:rPr>
                <w:rFonts w:ascii="Times New Roman" w:hAnsi="Times New Roman" w:eastAsia="仿宋"/>
                <w:kern w:val="0"/>
                <w:sz w:val="24"/>
                <w:lang w:bidi="ar"/>
              </w:rPr>
            </w:pPr>
            <w:r>
              <w:rPr>
                <w:rFonts w:ascii="Times New Roman" w:hAnsi="Times New Roman" w:eastAsia="等线"/>
                <w:color w:val="000000"/>
                <w:sz w:val="22"/>
                <w:szCs w:val="22"/>
              </w:rPr>
              <w:t>118.80</w:t>
            </w:r>
          </w:p>
        </w:tc>
        <w:tc>
          <w:tcPr>
            <w:tcW w:w="1590"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widowControl/>
              <w:spacing w:line="234" w:lineRule="atLeast"/>
              <w:ind w:firstLine="0"/>
              <w:jc w:val="center"/>
              <w:rPr>
                <w:rFonts w:ascii="Times New Roman" w:hAnsi="Times New Roman" w:eastAsia="仿宋"/>
                <w:kern w:val="0"/>
                <w:sz w:val="24"/>
                <w:lang w:bidi="ar"/>
              </w:rPr>
            </w:pPr>
            <w:r>
              <w:rPr>
                <w:rFonts w:ascii="Times New Roman" w:hAnsi="Times New Roman" w:eastAsia="仿宋"/>
                <w:sz w:val="24"/>
              </w:rPr>
              <w:t>竞争性磋商</w:t>
            </w:r>
          </w:p>
        </w:tc>
      </w:tr>
      <w:tr>
        <w:tblPrEx>
          <w:tblLayout w:type="fixed"/>
          <w:tblCellMar>
            <w:top w:w="0" w:type="dxa"/>
            <w:left w:w="0" w:type="dxa"/>
            <w:bottom w:w="0" w:type="dxa"/>
            <w:right w:w="0" w:type="dxa"/>
          </w:tblCellMar>
        </w:tblPrEx>
        <w:trPr>
          <w:jc w:val="center"/>
        </w:trPr>
        <w:tc>
          <w:tcPr>
            <w:tcW w:w="636" w:type="dxa"/>
            <w:tcBorders>
              <w:top w:val="single" w:color="000000" w:sz="4" w:space="0"/>
              <w:left w:val="single" w:color="000000" w:sz="4" w:space="0"/>
              <w:bottom w:val="single" w:color="000000" w:sz="4" w:space="0"/>
              <w:right w:val="single" w:color="auto" w:sz="4" w:space="0"/>
            </w:tcBorders>
            <w:shd w:val="clear" w:color="auto" w:fill="auto"/>
            <w:noWrap w:val="0"/>
            <w:tcMar>
              <w:top w:w="15" w:type="dxa"/>
              <w:left w:w="15" w:type="dxa"/>
              <w:right w:w="15" w:type="dxa"/>
            </w:tcMar>
            <w:vAlign w:val="center"/>
          </w:tcPr>
          <w:p>
            <w:pPr>
              <w:widowControl/>
              <w:numPr>
                <w:ilvl w:val="0"/>
                <w:numId w:val="1"/>
              </w:numPr>
              <w:suppressAutoHyphens/>
              <w:spacing w:line="234" w:lineRule="atLeast"/>
              <w:jc w:val="center"/>
              <w:rPr>
                <w:rFonts w:ascii="Times New Roman" w:hAnsi="Times New Roman" w:eastAsia="仿宋"/>
                <w:kern w:val="0"/>
                <w:sz w:val="24"/>
                <w:lang w:bidi="ar"/>
              </w:rPr>
            </w:pPr>
          </w:p>
        </w:tc>
        <w:tc>
          <w:tcPr>
            <w:tcW w:w="5498"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widowControl/>
              <w:spacing w:line="234" w:lineRule="atLeast"/>
              <w:ind w:firstLine="0"/>
              <w:jc w:val="left"/>
              <w:rPr>
                <w:rFonts w:ascii="Times New Roman" w:hAnsi="Times New Roman" w:eastAsia="仿宋"/>
                <w:kern w:val="0"/>
                <w:sz w:val="24"/>
                <w:lang w:bidi="ar"/>
              </w:rPr>
            </w:pPr>
            <w:r>
              <w:rPr>
                <w:rFonts w:ascii="Times New Roman" w:hAnsi="Times New Roman" w:eastAsia="仿宋"/>
                <w:sz w:val="24"/>
              </w:rPr>
              <w:t>浙江工商大学E楼1-5层走廊文化建设工程</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widowControl/>
              <w:spacing w:line="234" w:lineRule="atLeast"/>
              <w:ind w:firstLine="0"/>
              <w:jc w:val="left"/>
              <w:rPr>
                <w:rFonts w:ascii="Times New Roman" w:hAnsi="Times New Roman" w:eastAsia="仿宋"/>
                <w:kern w:val="0"/>
                <w:sz w:val="24"/>
                <w:lang w:bidi="ar"/>
              </w:rPr>
            </w:pPr>
            <w:r>
              <w:rPr>
                <w:rFonts w:ascii="Times New Roman" w:hAnsi="Times New Roman" w:eastAsia="等线"/>
                <w:color w:val="000000"/>
                <w:sz w:val="22"/>
                <w:szCs w:val="22"/>
              </w:rPr>
              <w:t>121.963</w:t>
            </w:r>
          </w:p>
        </w:tc>
        <w:tc>
          <w:tcPr>
            <w:tcW w:w="1590"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widowControl/>
              <w:spacing w:line="234" w:lineRule="atLeast"/>
              <w:ind w:firstLine="0"/>
              <w:jc w:val="center"/>
              <w:rPr>
                <w:rFonts w:ascii="Times New Roman" w:hAnsi="Times New Roman" w:eastAsia="仿宋"/>
                <w:kern w:val="0"/>
                <w:sz w:val="24"/>
                <w:lang w:bidi="ar"/>
              </w:rPr>
            </w:pPr>
            <w:r>
              <w:rPr>
                <w:rFonts w:ascii="Times New Roman" w:hAnsi="Times New Roman" w:eastAsia="仿宋"/>
                <w:sz w:val="24"/>
              </w:rPr>
              <w:t>竞争性磋商</w:t>
            </w:r>
          </w:p>
        </w:tc>
      </w:tr>
      <w:tr>
        <w:tblPrEx>
          <w:tblLayout w:type="fixed"/>
          <w:tblCellMar>
            <w:top w:w="0" w:type="dxa"/>
            <w:left w:w="0" w:type="dxa"/>
            <w:bottom w:w="0" w:type="dxa"/>
            <w:right w:w="0" w:type="dxa"/>
          </w:tblCellMar>
        </w:tblPrEx>
        <w:trPr>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numPr>
                <w:ilvl w:val="0"/>
                <w:numId w:val="1"/>
              </w:numPr>
              <w:suppressAutoHyphens/>
              <w:spacing w:line="234" w:lineRule="atLeast"/>
              <w:jc w:val="center"/>
              <w:rPr>
                <w:rFonts w:ascii="Times New Roman" w:hAnsi="Times New Roman" w:eastAsia="仿宋"/>
                <w:kern w:val="0"/>
                <w:sz w:val="24"/>
                <w:lang w:bidi="ar"/>
              </w:rPr>
            </w:pPr>
          </w:p>
        </w:tc>
        <w:tc>
          <w:tcPr>
            <w:tcW w:w="5498" w:type="dxa"/>
            <w:tcBorders>
              <w:top w:val="nil"/>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widowControl/>
              <w:spacing w:line="234" w:lineRule="atLeast"/>
              <w:ind w:firstLine="0"/>
              <w:jc w:val="left"/>
              <w:rPr>
                <w:rFonts w:ascii="Times New Roman" w:hAnsi="Times New Roman" w:eastAsia="仿宋"/>
                <w:kern w:val="0"/>
                <w:sz w:val="24"/>
                <w:lang w:bidi="ar"/>
              </w:rPr>
            </w:pPr>
            <w:r>
              <w:rPr>
                <w:rFonts w:ascii="Times New Roman" w:hAnsi="Times New Roman" w:eastAsia="仿宋"/>
                <w:sz w:val="24"/>
              </w:rPr>
              <w:t>浙江工商大学数字高校系统建设：学生成长一体化平台（一期）</w:t>
            </w:r>
          </w:p>
        </w:tc>
        <w:tc>
          <w:tcPr>
            <w:tcW w:w="1134" w:type="dxa"/>
            <w:tcBorders>
              <w:top w:val="nil"/>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widowControl/>
              <w:spacing w:line="234" w:lineRule="atLeast"/>
              <w:ind w:firstLine="0"/>
              <w:jc w:val="left"/>
              <w:rPr>
                <w:rFonts w:ascii="Times New Roman" w:hAnsi="Times New Roman" w:eastAsia="仿宋"/>
                <w:kern w:val="0"/>
                <w:sz w:val="24"/>
                <w:lang w:bidi="ar"/>
              </w:rPr>
            </w:pPr>
            <w:r>
              <w:rPr>
                <w:rFonts w:ascii="Times New Roman" w:hAnsi="Times New Roman" w:eastAsia="等线"/>
                <w:color w:val="000000"/>
                <w:sz w:val="22"/>
                <w:szCs w:val="22"/>
              </w:rPr>
              <w:t>148.45</w:t>
            </w:r>
          </w:p>
        </w:tc>
        <w:tc>
          <w:tcPr>
            <w:tcW w:w="1590" w:type="dxa"/>
            <w:tcBorders>
              <w:top w:val="nil"/>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widowControl/>
              <w:spacing w:line="234" w:lineRule="atLeast"/>
              <w:ind w:firstLine="0"/>
              <w:jc w:val="center"/>
              <w:rPr>
                <w:rFonts w:ascii="Times New Roman" w:hAnsi="Times New Roman" w:eastAsia="仿宋"/>
                <w:kern w:val="0"/>
                <w:sz w:val="24"/>
                <w:lang w:bidi="ar"/>
              </w:rPr>
            </w:pPr>
            <w:r>
              <w:rPr>
                <w:rFonts w:ascii="Times New Roman" w:hAnsi="Times New Roman" w:eastAsia="仿宋"/>
                <w:color w:val="000000"/>
                <w:sz w:val="24"/>
              </w:rPr>
              <w:t>公开招标</w:t>
            </w:r>
          </w:p>
        </w:tc>
      </w:tr>
      <w:tr>
        <w:tblPrEx>
          <w:tblLayout w:type="fixed"/>
          <w:tblCellMar>
            <w:top w:w="0" w:type="dxa"/>
            <w:left w:w="0" w:type="dxa"/>
            <w:bottom w:w="0" w:type="dxa"/>
            <w:right w:w="0" w:type="dxa"/>
          </w:tblCellMar>
        </w:tblPrEx>
        <w:trPr>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numPr>
                <w:ilvl w:val="0"/>
                <w:numId w:val="1"/>
              </w:numPr>
              <w:suppressAutoHyphens/>
              <w:spacing w:line="234" w:lineRule="atLeast"/>
              <w:jc w:val="center"/>
              <w:rPr>
                <w:rFonts w:ascii="Times New Roman" w:hAnsi="Times New Roman" w:eastAsia="仿宋"/>
                <w:kern w:val="0"/>
                <w:sz w:val="24"/>
                <w:lang w:bidi="ar"/>
              </w:rPr>
            </w:pPr>
          </w:p>
        </w:tc>
        <w:tc>
          <w:tcPr>
            <w:tcW w:w="5498" w:type="dxa"/>
            <w:tcBorders>
              <w:top w:val="nil"/>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widowControl/>
              <w:spacing w:line="234" w:lineRule="atLeast"/>
              <w:ind w:firstLine="0"/>
              <w:jc w:val="left"/>
              <w:rPr>
                <w:rFonts w:ascii="Times New Roman" w:hAnsi="Times New Roman" w:eastAsia="仿宋"/>
                <w:kern w:val="0"/>
                <w:sz w:val="24"/>
                <w:lang w:bidi="ar"/>
              </w:rPr>
            </w:pPr>
            <w:r>
              <w:rPr>
                <w:rFonts w:ascii="Times New Roman" w:hAnsi="Times New Roman" w:eastAsia="仿宋"/>
                <w:sz w:val="24"/>
              </w:rPr>
              <w:t>浙江工商大学2024年腾讯云数字产业人才培养项目教学等资源</w:t>
            </w:r>
          </w:p>
        </w:tc>
        <w:tc>
          <w:tcPr>
            <w:tcW w:w="1134" w:type="dxa"/>
            <w:tcBorders>
              <w:top w:val="nil"/>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widowControl/>
              <w:spacing w:line="234" w:lineRule="atLeast"/>
              <w:ind w:firstLine="0"/>
              <w:jc w:val="left"/>
              <w:rPr>
                <w:rFonts w:ascii="Times New Roman" w:hAnsi="Times New Roman" w:eastAsia="仿宋"/>
                <w:kern w:val="0"/>
                <w:sz w:val="24"/>
                <w:lang w:bidi="ar"/>
              </w:rPr>
            </w:pPr>
            <w:r>
              <w:rPr>
                <w:rFonts w:ascii="Times New Roman" w:hAnsi="Times New Roman" w:eastAsia="等线"/>
                <w:color w:val="000000"/>
                <w:sz w:val="22"/>
                <w:szCs w:val="22"/>
              </w:rPr>
              <w:t>824.29</w:t>
            </w:r>
          </w:p>
        </w:tc>
        <w:tc>
          <w:tcPr>
            <w:tcW w:w="1590" w:type="dxa"/>
            <w:tcBorders>
              <w:top w:val="nil"/>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widowControl/>
              <w:spacing w:line="234" w:lineRule="atLeast"/>
              <w:ind w:firstLine="0"/>
              <w:jc w:val="center"/>
              <w:rPr>
                <w:rFonts w:ascii="Times New Roman" w:hAnsi="Times New Roman" w:eastAsia="仿宋"/>
                <w:kern w:val="0"/>
                <w:sz w:val="24"/>
                <w:lang w:bidi="ar"/>
              </w:rPr>
            </w:pPr>
            <w:r>
              <w:rPr>
                <w:rFonts w:ascii="Times New Roman" w:hAnsi="Times New Roman" w:eastAsia="仿宋"/>
                <w:sz w:val="24"/>
              </w:rPr>
              <w:t>单一来源</w:t>
            </w:r>
          </w:p>
        </w:tc>
      </w:tr>
      <w:tr>
        <w:tblPrEx>
          <w:tblLayout w:type="fixed"/>
          <w:tblCellMar>
            <w:top w:w="0" w:type="dxa"/>
            <w:left w:w="0" w:type="dxa"/>
            <w:bottom w:w="0" w:type="dxa"/>
            <w:right w:w="0" w:type="dxa"/>
          </w:tblCellMar>
        </w:tblPrEx>
        <w:trPr>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1"/>
              </w:numPr>
              <w:suppressAutoHyphens/>
              <w:spacing w:line="234" w:lineRule="atLeast"/>
              <w:jc w:val="center"/>
              <w:rPr>
                <w:rFonts w:ascii="Times New Roman" w:hAnsi="Times New Roman" w:eastAsia="仿宋"/>
                <w:kern w:val="0"/>
                <w:sz w:val="24"/>
                <w:lang w:bidi="ar"/>
              </w:rPr>
            </w:pPr>
          </w:p>
        </w:tc>
        <w:tc>
          <w:tcPr>
            <w:tcW w:w="5498" w:type="dxa"/>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spacing w:line="234" w:lineRule="atLeast"/>
              <w:ind w:firstLine="0"/>
              <w:jc w:val="left"/>
              <w:rPr>
                <w:rFonts w:ascii="Times New Roman" w:hAnsi="Times New Roman" w:eastAsia="仿宋"/>
                <w:kern w:val="0"/>
                <w:sz w:val="24"/>
                <w:lang w:bidi="ar"/>
              </w:rPr>
            </w:pPr>
            <w:r>
              <w:rPr>
                <w:rFonts w:ascii="Times New Roman" w:hAnsi="Times New Roman" w:eastAsia="仿宋"/>
                <w:sz w:val="24"/>
              </w:rPr>
              <w:t>浙江工商大学银校项目智安校园项目</w:t>
            </w:r>
          </w:p>
        </w:tc>
        <w:tc>
          <w:tcPr>
            <w:tcW w:w="1134" w:type="dxa"/>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spacing w:line="234" w:lineRule="atLeast"/>
              <w:ind w:firstLine="0"/>
              <w:jc w:val="left"/>
              <w:rPr>
                <w:rFonts w:ascii="Times New Roman" w:hAnsi="Times New Roman" w:eastAsia="仿宋"/>
                <w:kern w:val="0"/>
                <w:sz w:val="24"/>
                <w:lang w:bidi="ar"/>
              </w:rPr>
            </w:pPr>
            <w:r>
              <w:rPr>
                <w:rFonts w:ascii="Times New Roman" w:hAnsi="Times New Roman" w:eastAsia="等线"/>
                <w:color w:val="000000"/>
                <w:sz w:val="22"/>
                <w:szCs w:val="22"/>
              </w:rPr>
              <w:t>135.70</w:t>
            </w:r>
          </w:p>
        </w:tc>
        <w:tc>
          <w:tcPr>
            <w:tcW w:w="1590" w:type="dxa"/>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spacing w:line="234" w:lineRule="atLeast"/>
              <w:ind w:firstLine="0"/>
              <w:jc w:val="center"/>
              <w:rPr>
                <w:rFonts w:ascii="Times New Roman" w:hAnsi="Times New Roman" w:eastAsia="仿宋"/>
                <w:kern w:val="0"/>
                <w:sz w:val="24"/>
                <w:lang w:bidi="ar"/>
              </w:rPr>
            </w:pPr>
            <w:r>
              <w:rPr>
                <w:rFonts w:ascii="Times New Roman" w:hAnsi="Times New Roman" w:eastAsia="仿宋"/>
                <w:color w:val="000000"/>
                <w:sz w:val="24"/>
              </w:rPr>
              <w:t>公开招标</w:t>
            </w:r>
          </w:p>
        </w:tc>
      </w:tr>
      <w:tr>
        <w:tblPrEx>
          <w:tblLayout w:type="fixed"/>
          <w:tblCellMar>
            <w:top w:w="0" w:type="dxa"/>
            <w:left w:w="0" w:type="dxa"/>
            <w:bottom w:w="0" w:type="dxa"/>
            <w:right w:w="0" w:type="dxa"/>
          </w:tblCellMar>
        </w:tblPrEx>
        <w:trPr>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1"/>
              </w:numPr>
              <w:suppressAutoHyphens/>
              <w:spacing w:line="234" w:lineRule="atLeast"/>
              <w:jc w:val="center"/>
              <w:rPr>
                <w:rFonts w:ascii="Times New Roman" w:hAnsi="Times New Roman" w:eastAsia="仿宋"/>
                <w:kern w:val="0"/>
                <w:sz w:val="24"/>
                <w:lang w:bidi="ar"/>
              </w:rPr>
            </w:pPr>
          </w:p>
        </w:tc>
        <w:tc>
          <w:tcPr>
            <w:tcW w:w="5498" w:type="dxa"/>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spacing w:line="234" w:lineRule="atLeast"/>
              <w:ind w:firstLine="0"/>
              <w:jc w:val="left"/>
              <w:rPr>
                <w:rFonts w:ascii="Times New Roman" w:hAnsi="Times New Roman" w:eastAsia="仿宋"/>
                <w:kern w:val="0"/>
                <w:sz w:val="24"/>
                <w:lang w:bidi="ar"/>
              </w:rPr>
            </w:pPr>
            <w:r>
              <w:rPr>
                <w:rFonts w:ascii="Times New Roman" w:hAnsi="Times New Roman" w:eastAsia="仿宋"/>
                <w:sz w:val="24"/>
              </w:rPr>
              <w:t>浙江工商大学2024-2025年度小额维修改造工程（标项三：下沙生活区）</w:t>
            </w:r>
          </w:p>
        </w:tc>
        <w:tc>
          <w:tcPr>
            <w:tcW w:w="1134" w:type="dxa"/>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spacing w:line="234" w:lineRule="atLeast"/>
              <w:ind w:firstLine="0"/>
              <w:jc w:val="left"/>
              <w:rPr>
                <w:rFonts w:ascii="Times New Roman" w:hAnsi="Times New Roman" w:eastAsia="仿宋"/>
                <w:kern w:val="0"/>
                <w:sz w:val="24"/>
                <w:lang w:bidi="ar"/>
              </w:rPr>
            </w:pPr>
            <w:r>
              <w:rPr>
                <w:rFonts w:ascii="Times New Roman" w:hAnsi="Times New Roman" w:eastAsia="等线"/>
                <w:color w:val="000000"/>
                <w:sz w:val="22"/>
                <w:szCs w:val="22"/>
              </w:rPr>
              <w:t>450.00</w:t>
            </w:r>
          </w:p>
        </w:tc>
        <w:tc>
          <w:tcPr>
            <w:tcW w:w="1590" w:type="dxa"/>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spacing w:line="234" w:lineRule="atLeast"/>
              <w:ind w:firstLine="0"/>
              <w:jc w:val="center"/>
              <w:rPr>
                <w:rFonts w:ascii="Times New Roman" w:hAnsi="Times New Roman" w:eastAsia="仿宋"/>
                <w:kern w:val="0"/>
                <w:sz w:val="24"/>
                <w:lang w:bidi="ar"/>
              </w:rPr>
            </w:pPr>
            <w:r>
              <w:rPr>
                <w:rFonts w:ascii="Times New Roman" w:hAnsi="Times New Roman" w:eastAsia="仿宋"/>
                <w:color w:val="000000"/>
                <w:sz w:val="24"/>
              </w:rPr>
              <w:t>竞争性磋商</w:t>
            </w:r>
          </w:p>
        </w:tc>
      </w:tr>
      <w:tr>
        <w:tblPrEx>
          <w:tblLayout w:type="fixed"/>
          <w:tblCellMar>
            <w:top w:w="0" w:type="dxa"/>
            <w:left w:w="0" w:type="dxa"/>
            <w:bottom w:w="0" w:type="dxa"/>
            <w:right w:w="0" w:type="dxa"/>
          </w:tblCellMar>
        </w:tblPrEx>
        <w:trPr>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1"/>
              </w:numPr>
              <w:suppressAutoHyphens/>
              <w:spacing w:line="234" w:lineRule="atLeast"/>
              <w:jc w:val="center"/>
              <w:rPr>
                <w:rFonts w:ascii="Times New Roman" w:hAnsi="Times New Roman" w:eastAsia="仿宋"/>
                <w:kern w:val="0"/>
                <w:sz w:val="24"/>
                <w:lang w:bidi="ar"/>
              </w:rPr>
            </w:pPr>
          </w:p>
        </w:tc>
        <w:tc>
          <w:tcPr>
            <w:tcW w:w="5498" w:type="dxa"/>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spacing w:line="234" w:lineRule="atLeast"/>
              <w:ind w:firstLine="0"/>
              <w:jc w:val="left"/>
              <w:rPr>
                <w:rFonts w:ascii="Times New Roman" w:hAnsi="Times New Roman" w:eastAsia="仿宋"/>
                <w:kern w:val="0"/>
                <w:sz w:val="24"/>
                <w:lang w:bidi="ar"/>
              </w:rPr>
            </w:pPr>
            <w:r>
              <w:rPr>
                <w:rFonts w:ascii="Times New Roman" w:hAnsi="Times New Roman" w:eastAsia="仿宋"/>
                <w:sz w:val="24"/>
              </w:rPr>
              <w:t>浙江工商大学2024-2025年度小额维修改造工程（标项二：教工路校区）</w:t>
            </w:r>
          </w:p>
        </w:tc>
        <w:tc>
          <w:tcPr>
            <w:tcW w:w="1134" w:type="dxa"/>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spacing w:line="234" w:lineRule="atLeast"/>
              <w:ind w:firstLine="0"/>
              <w:jc w:val="left"/>
              <w:rPr>
                <w:rFonts w:ascii="Times New Roman" w:hAnsi="Times New Roman" w:eastAsia="仿宋"/>
                <w:kern w:val="0"/>
                <w:sz w:val="24"/>
                <w:lang w:bidi="ar"/>
              </w:rPr>
            </w:pPr>
            <w:r>
              <w:rPr>
                <w:rFonts w:ascii="Times New Roman" w:hAnsi="Times New Roman" w:eastAsia="等线"/>
                <w:color w:val="000000"/>
                <w:sz w:val="22"/>
                <w:szCs w:val="22"/>
              </w:rPr>
              <w:t>475.00</w:t>
            </w:r>
          </w:p>
        </w:tc>
        <w:tc>
          <w:tcPr>
            <w:tcW w:w="1590" w:type="dxa"/>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spacing w:line="234" w:lineRule="atLeast"/>
              <w:ind w:firstLine="0"/>
              <w:jc w:val="center"/>
              <w:rPr>
                <w:rFonts w:ascii="Times New Roman" w:hAnsi="Times New Roman" w:eastAsia="仿宋"/>
                <w:kern w:val="0"/>
                <w:sz w:val="24"/>
                <w:lang w:bidi="ar"/>
              </w:rPr>
            </w:pPr>
            <w:r>
              <w:rPr>
                <w:rFonts w:ascii="Times New Roman" w:hAnsi="Times New Roman" w:eastAsia="仿宋"/>
                <w:color w:val="000000"/>
                <w:sz w:val="24"/>
              </w:rPr>
              <w:t>竞争性磋商</w:t>
            </w:r>
          </w:p>
        </w:tc>
      </w:tr>
      <w:tr>
        <w:tblPrEx>
          <w:tblLayout w:type="fixed"/>
          <w:tblCellMar>
            <w:top w:w="0" w:type="dxa"/>
            <w:left w:w="0" w:type="dxa"/>
            <w:bottom w:w="0" w:type="dxa"/>
            <w:right w:w="0" w:type="dxa"/>
          </w:tblCellMar>
        </w:tblPrEx>
        <w:trPr>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1"/>
              </w:numPr>
              <w:suppressAutoHyphens/>
              <w:spacing w:line="234" w:lineRule="atLeast"/>
              <w:jc w:val="center"/>
              <w:rPr>
                <w:rFonts w:ascii="Times New Roman" w:hAnsi="Times New Roman" w:eastAsia="仿宋"/>
                <w:kern w:val="0"/>
                <w:sz w:val="24"/>
                <w:lang w:bidi="ar"/>
              </w:rPr>
            </w:pPr>
          </w:p>
        </w:tc>
        <w:tc>
          <w:tcPr>
            <w:tcW w:w="5498" w:type="dxa"/>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spacing w:line="234" w:lineRule="atLeast"/>
              <w:ind w:firstLine="0"/>
              <w:jc w:val="left"/>
              <w:rPr>
                <w:rFonts w:ascii="Times New Roman" w:hAnsi="Times New Roman" w:eastAsia="仿宋"/>
                <w:kern w:val="0"/>
                <w:sz w:val="24"/>
                <w:lang w:bidi="ar"/>
              </w:rPr>
            </w:pPr>
            <w:r>
              <w:rPr>
                <w:rFonts w:ascii="Times New Roman" w:hAnsi="Times New Roman" w:eastAsia="仿宋"/>
                <w:sz w:val="24"/>
              </w:rPr>
              <w:t>浙江工商大学2024-2025年度小额维修改造工程（标项一：下沙教学区）</w:t>
            </w:r>
          </w:p>
        </w:tc>
        <w:tc>
          <w:tcPr>
            <w:tcW w:w="1134" w:type="dxa"/>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spacing w:line="234" w:lineRule="atLeast"/>
              <w:ind w:firstLine="0"/>
              <w:jc w:val="left"/>
              <w:rPr>
                <w:rFonts w:ascii="Times New Roman" w:hAnsi="Times New Roman" w:eastAsia="仿宋"/>
                <w:kern w:val="0"/>
                <w:sz w:val="24"/>
                <w:lang w:bidi="ar"/>
              </w:rPr>
            </w:pPr>
            <w:r>
              <w:rPr>
                <w:rFonts w:ascii="Times New Roman" w:hAnsi="Times New Roman" w:eastAsia="等线"/>
                <w:color w:val="000000"/>
                <w:sz w:val="22"/>
                <w:szCs w:val="22"/>
              </w:rPr>
              <w:t>550.00</w:t>
            </w:r>
          </w:p>
        </w:tc>
        <w:tc>
          <w:tcPr>
            <w:tcW w:w="1590" w:type="dxa"/>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spacing w:line="234" w:lineRule="atLeast"/>
              <w:ind w:firstLine="0"/>
              <w:jc w:val="center"/>
              <w:rPr>
                <w:rFonts w:ascii="Times New Roman" w:hAnsi="Times New Roman" w:eastAsia="仿宋"/>
                <w:kern w:val="0"/>
                <w:sz w:val="24"/>
                <w:lang w:bidi="ar"/>
              </w:rPr>
            </w:pPr>
            <w:r>
              <w:rPr>
                <w:rFonts w:ascii="Times New Roman" w:hAnsi="Times New Roman" w:eastAsia="仿宋"/>
                <w:color w:val="000000"/>
                <w:sz w:val="24"/>
              </w:rPr>
              <w:t>竞争性磋商</w:t>
            </w:r>
          </w:p>
        </w:tc>
      </w:tr>
      <w:tr>
        <w:tblPrEx>
          <w:tblLayout w:type="fixed"/>
          <w:tblCellMar>
            <w:top w:w="0" w:type="dxa"/>
            <w:left w:w="0" w:type="dxa"/>
            <w:bottom w:w="0" w:type="dxa"/>
            <w:right w:w="0" w:type="dxa"/>
          </w:tblCellMar>
        </w:tblPrEx>
        <w:trPr>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1"/>
              </w:numPr>
              <w:suppressAutoHyphens/>
              <w:spacing w:line="234" w:lineRule="atLeast"/>
              <w:jc w:val="center"/>
              <w:rPr>
                <w:rFonts w:ascii="Times New Roman" w:hAnsi="Times New Roman" w:eastAsia="仿宋"/>
                <w:kern w:val="0"/>
                <w:sz w:val="24"/>
                <w:lang w:bidi="ar"/>
              </w:rPr>
            </w:pPr>
          </w:p>
        </w:tc>
        <w:tc>
          <w:tcPr>
            <w:tcW w:w="5498" w:type="dxa"/>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spacing w:line="234" w:lineRule="atLeast"/>
              <w:ind w:firstLine="0"/>
              <w:jc w:val="left"/>
              <w:rPr>
                <w:rFonts w:ascii="Times New Roman" w:hAnsi="Times New Roman" w:eastAsia="仿宋"/>
                <w:kern w:val="0"/>
                <w:sz w:val="24"/>
                <w:lang w:bidi="ar"/>
              </w:rPr>
            </w:pPr>
            <w:r>
              <w:rPr>
                <w:rFonts w:ascii="Times New Roman" w:hAnsi="Times New Roman" w:eastAsia="仿宋"/>
                <w:sz w:val="24"/>
              </w:rPr>
              <w:t>浙江工商大学两校区卫生保洁</w:t>
            </w:r>
          </w:p>
        </w:tc>
        <w:tc>
          <w:tcPr>
            <w:tcW w:w="1134" w:type="dxa"/>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spacing w:line="234" w:lineRule="atLeast"/>
              <w:ind w:firstLine="0"/>
              <w:jc w:val="left"/>
              <w:rPr>
                <w:rFonts w:ascii="Times New Roman" w:hAnsi="Times New Roman" w:eastAsia="仿宋"/>
                <w:kern w:val="0"/>
                <w:sz w:val="24"/>
                <w:lang w:bidi="ar"/>
              </w:rPr>
            </w:pPr>
            <w:r>
              <w:rPr>
                <w:rFonts w:ascii="Times New Roman" w:hAnsi="Times New Roman" w:eastAsia="等线"/>
                <w:color w:val="000000"/>
                <w:sz w:val="22"/>
                <w:szCs w:val="22"/>
              </w:rPr>
              <w:t>2408.00</w:t>
            </w:r>
          </w:p>
        </w:tc>
        <w:tc>
          <w:tcPr>
            <w:tcW w:w="1590" w:type="dxa"/>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spacing w:line="234" w:lineRule="atLeast"/>
              <w:ind w:firstLine="0"/>
              <w:jc w:val="center"/>
              <w:rPr>
                <w:rFonts w:ascii="Times New Roman" w:hAnsi="Times New Roman" w:eastAsia="仿宋"/>
                <w:kern w:val="0"/>
                <w:sz w:val="24"/>
                <w:lang w:bidi="ar"/>
              </w:rPr>
            </w:pPr>
            <w:r>
              <w:rPr>
                <w:rFonts w:ascii="Times New Roman" w:hAnsi="Times New Roman" w:eastAsia="仿宋"/>
                <w:color w:val="000000"/>
                <w:sz w:val="24"/>
              </w:rPr>
              <w:t>公开招标</w:t>
            </w:r>
          </w:p>
        </w:tc>
      </w:tr>
      <w:tr>
        <w:tblPrEx>
          <w:tblLayout w:type="fixed"/>
          <w:tblCellMar>
            <w:top w:w="0" w:type="dxa"/>
            <w:left w:w="0" w:type="dxa"/>
            <w:bottom w:w="0" w:type="dxa"/>
            <w:right w:w="0" w:type="dxa"/>
          </w:tblCellMar>
        </w:tblPrEx>
        <w:trPr>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1"/>
              </w:numPr>
              <w:suppressAutoHyphens/>
              <w:spacing w:line="234" w:lineRule="atLeast"/>
              <w:jc w:val="center"/>
              <w:rPr>
                <w:rFonts w:ascii="Times New Roman" w:hAnsi="Times New Roman" w:eastAsia="仿宋"/>
                <w:kern w:val="0"/>
                <w:sz w:val="24"/>
                <w:lang w:bidi="ar"/>
              </w:rPr>
            </w:pPr>
          </w:p>
        </w:tc>
        <w:tc>
          <w:tcPr>
            <w:tcW w:w="5498" w:type="dxa"/>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spacing w:line="234" w:lineRule="atLeast"/>
              <w:ind w:firstLine="0"/>
              <w:jc w:val="left"/>
              <w:rPr>
                <w:rFonts w:ascii="Times New Roman" w:hAnsi="Times New Roman" w:eastAsia="仿宋"/>
                <w:kern w:val="0"/>
                <w:sz w:val="24"/>
                <w:lang w:bidi="ar"/>
              </w:rPr>
            </w:pPr>
            <w:r>
              <w:rPr>
                <w:rFonts w:ascii="Times New Roman" w:hAnsi="Times New Roman" w:eastAsia="仿宋"/>
                <w:sz w:val="24"/>
              </w:rPr>
              <w:t>浙江工商大学学位论文质量监测服务</w:t>
            </w:r>
          </w:p>
        </w:tc>
        <w:tc>
          <w:tcPr>
            <w:tcW w:w="1134" w:type="dxa"/>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spacing w:line="234" w:lineRule="atLeast"/>
              <w:ind w:firstLine="0"/>
              <w:jc w:val="left"/>
              <w:rPr>
                <w:rFonts w:ascii="Times New Roman" w:hAnsi="Times New Roman" w:eastAsia="仿宋"/>
                <w:kern w:val="0"/>
                <w:sz w:val="24"/>
                <w:lang w:bidi="ar"/>
              </w:rPr>
            </w:pPr>
            <w:r>
              <w:rPr>
                <w:rFonts w:ascii="Times New Roman" w:hAnsi="Times New Roman" w:eastAsia="等线"/>
                <w:color w:val="000000"/>
                <w:sz w:val="22"/>
                <w:szCs w:val="22"/>
              </w:rPr>
              <w:t>240.00</w:t>
            </w:r>
          </w:p>
        </w:tc>
        <w:tc>
          <w:tcPr>
            <w:tcW w:w="1590" w:type="dxa"/>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spacing w:line="234" w:lineRule="atLeast"/>
              <w:ind w:firstLine="0"/>
              <w:jc w:val="center"/>
              <w:rPr>
                <w:rFonts w:ascii="Times New Roman" w:hAnsi="Times New Roman" w:eastAsia="仿宋"/>
                <w:kern w:val="0"/>
                <w:sz w:val="24"/>
                <w:lang w:bidi="ar"/>
              </w:rPr>
            </w:pPr>
            <w:r>
              <w:rPr>
                <w:rFonts w:ascii="Times New Roman" w:hAnsi="Times New Roman" w:eastAsia="仿宋"/>
                <w:sz w:val="24"/>
              </w:rPr>
              <w:t>单一来源</w:t>
            </w:r>
          </w:p>
        </w:tc>
      </w:tr>
      <w:tr>
        <w:tblPrEx>
          <w:tblLayout w:type="fixed"/>
          <w:tblCellMar>
            <w:top w:w="0" w:type="dxa"/>
            <w:left w:w="0" w:type="dxa"/>
            <w:bottom w:w="0" w:type="dxa"/>
            <w:right w:w="0" w:type="dxa"/>
          </w:tblCellMar>
        </w:tblPrEx>
        <w:trPr>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numPr>
                <w:ilvl w:val="0"/>
                <w:numId w:val="1"/>
              </w:numPr>
              <w:suppressAutoHyphens/>
              <w:spacing w:line="234" w:lineRule="atLeast"/>
              <w:jc w:val="center"/>
              <w:rPr>
                <w:rFonts w:ascii="Times New Roman" w:hAnsi="Times New Roman" w:eastAsia="仿宋"/>
                <w:kern w:val="0"/>
                <w:sz w:val="24"/>
                <w:lang w:bidi="ar"/>
              </w:rPr>
            </w:pPr>
          </w:p>
        </w:tc>
        <w:tc>
          <w:tcPr>
            <w:tcW w:w="5498" w:type="dxa"/>
            <w:tcBorders>
              <w:top w:val="nil"/>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widowControl/>
              <w:spacing w:line="234" w:lineRule="atLeast"/>
              <w:ind w:firstLine="0"/>
              <w:jc w:val="left"/>
              <w:rPr>
                <w:rFonts w:ascii="Times New Roman" w:hAnsi="Times New Roman" w:eastAsia="仿宋"/>
                <w:kern w:val="0"/>
                <w:sz w:val="24"/>
                <w:lang w:bidi="ar"/>
              </w:rPr>
            </w:pPr>
            <w:r>
              <w:rPr>
                <w:rFonts w:ascii="Times New Roman" w:hAnsi="Times New Roman" w:eastAsia="仿宋"/>
                <w:sz w:val="24"/>
              </w:rPr>
              <w:t>浙江工商大学9号教学楼部分教室提升改造工程</w:t>
            </w:r>
          </w:p>
        </w:tc>
        <w:tc>
          <w:tcPr>
            <w:tcW w:w="1134" w:type="dxa"/>
            <w:tcBorders>
              <w:top w:val="nil"/>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widowControl/>
              <w:spacing w:line="234" w:lineRule="atLeast"/>
              <w:ind w:firstLine="0"/>
              <w:jc w:val="left"/>
              <w:rPr>
                <w:rFonts w:ascii="Times New Roman" w:hAnsi="Times New Roman" w:eastAsia="仿宋"/>
                <w:kern w:val="0"/>
                <w:sz w:val="24"/>
                <w:lang w:bidi="ar"/>
              </w:rPr>
            </w:pPr>
            <w:r>
              <w:rPr>
                <w:rFonts w:ascii="Times New Roman" w:hAnsi="Times New Roman" w:eastAsia="等线"/>
                <w:color w:val="000000"/>
                <w:sz w:val="22"/>
                <w:szCs w:val="22"/>
              </w:rPr>
              <w:t>121.04</w:t>
            </w:r>
          </w:p>
        </w:tc>
        <w:tc>
          <w:tcPr>
            <w:tcW w:w="1590" w:type="dxa"/>
            <w:tcBorders>
              <w:top w:val="nil"/>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widowControl/>
              <w:spacing w:line="234" w:lineRule="atLeast"/>
              <w:ind w:firstLine="0"/>
              <w:jc w:val="center"/>
              <w:rPr>
                <w:rFonts w:ascii="Times New Roman" w:hAnsi="Times New Roman" w:eastAsia="仿宋"/>
                <w:kern w:val="0"/>
                <w:sz w:val="24"/>
                <w:lang w:bidi="ar"/>
              </w:rPr>
            </w:pPr>
            <w:r>
              <w:rPr>
                <w:rFonts w:ascii="Times New Roman" w:hAnsi="Times New Roman" w:eastAsia="仿宋"/>
                <w:color w:val="000000"/>
                <w:sz w:val="24"/>
              </w:rPr>
              <w:t>竞争性磋商</w:t>
            </w:r>
          </w:p>
        </w:tc>
      </w:tr>
      <w:tr>
        <w:tblPrEx>
          <w:tblLayout w:type="fixed"/>
          <w:tblCellMar>
            <w:top w:w="0" w:type="dxa"/>
            <w:left w:w="0" w:type="dxa"/>
            <w:bottom w:w="0" w:type="dxa"/>
            <w:right w:w="0" w:type="dxa"/>
          </w:tblCellMar>
        </w:tblPrEx>
        <w:trPr>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numPr>
                <w:ilvl w:val="0"/>
                <w:numId w:val="1"/>
              </w:numPr>
              <w:suppressAutoHyphens/>
              <w:spacing w:line="234" w:lineRule="atLeast"/>
              <w:jc w:val="center"/>
              <w:rPr>
                <w:rFonts w:ascii="Times New Roman" w:hAnsi="Times New Roman" w:eastAsia="仿宋"/>
                <w:kern w:val="0"/>
                <w:sz w:val="24"/>
                <w:lang w:bidi="ar"/>
              </w:rPr>
            </w:pPr>
          </w:p>
        </w:tc>
        <w:tc>
          <w:tcPr>
            <w:tcW w:w="5498" w:type="dxa"/>
            <w:tcBorders>
              <w:top w:val="nil"/>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widowControl/>
              <w:spacing w:line="234" w:lineRule="atLeast"/>
              <w:ind w:firstLine="0"/>
              <w:jc w:val="left"/>
              <w:rPr>
                <w:rFonts w:ascii="Times New Roman" w:hAnsi="Times New Roman" w:eastAsia="仿宋"/>
                <w:kern w:val="0"/>
                <w:sz w:val="24"/>
                <w:lang w:bidi="ar"/>
              </w:rPr>
            </w:pPr>
            <w:r>
              <w:rPr>
                <w:rFonts w:ascii="Times New Roman" w:hAnsi="Times New Roman" w:eastAsia="仿宋"/>
                <w:sz w:val="24"/>
              </w:rPr>
              <w:t>浙江工商大毕业生寝室维修项目（标项一:钱江湾生活区）</w:t>
            </w:r>
          </w:p>
        </w:tc>
        <w:tc>
          <w:tcPr>
            <w:tcW w:w="1134" w:type="dxa"/>
            <w:tcBorders>
              <w:top w:val="nil"/>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widowControl/>
              <w:spacing w:line="234" w:lineRule="atLeast"/>
              <w:ind w:firstLine="0"/>
              <w:jc w:val="left"/>
              <w:rPr>
                <w:rFonts w:ascii="Times New Roman" w:hAnsi="Times New Roman" w:eastAsia="仿宋"/>
                <w:kern w:val="0"/>
                <w:sz w:val="24"/>
                <w:lang w:bidi="ar"/>
              </w:rPr>
            </w:pPr>
            <w:r>
              <w:rPr>
                <w:rFonts w:ascii="Times New Roman" w:hAnsi="Times New Roman" w:eastAsia="等线"/>
                <w:color w:val="000000"/>
                <w:sz w:val="22"/>
                <w:szCs w:val="22"/>
              </w:rPr>
              <w:t>160.00</w:t>
            </w:r>
          </w:p>
        </w:tc>
        <w:tc>
          <w:tcPr>
            <w:tcW w:w="1590" w:type="dxa"/>
            <w:tcBorders>
              <w:top w:val="nil"/>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widowControl/>
              <w:spacing w:line="234" w:lineRule="atLeast"/>
              <w:ind w:firstLine="0"/>
              <w:jc w:val="center"/>
              <w:rPr>
                <w:rFonts w:ascii="Times New Roman" w:hAnsi="Times New Roman" w:eastAsia="仿宋"/>
                <w:kern w:val="0"/>
                <w:sz w:val="24"/>
                <w:lang w:bidi="ar"/>
              </w:rPr>
            </w:pPr>
            <w:r>
              <w:rPr>
                <w:rFonts w:ascii="Times New Roman" w:hAnsi="Times New Roman" w:eastAsia="仿宋"/>
                <w:color w:val="000000"/>
                <w:sz w:val="24"/>
              </w:rPr>
              <w:t>竞争性磋商</w:t>
            </w:r>
          </w:p>
        </w:tc>
      </w:tr>
      <w:tr>
        <w:tblPrEx>
          <w:tblLayout w:type="fixed"/>
          <w:tblCellMar>
            <w:top w:w="0" w:type="dxa"/>
            <w:left w:w="0" w:type="dxa"/>
            <w:bottom w:w="0" w:type="dxa"/>
            <w:right w:w="0" w:type="dxa"/>
          </w:tblCellMar>
        </w:tblPrEx>
        <w:trPr>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numPr>
                <w:ilvl w:val="0"/>
                <w:numId w:val="1"/>
              </w:numPr>
              <w:suppressAutoHyphens/>
              <w:spacing w:line="234" w:lineRule="atLeast"/>
              <w:jc w:val="center"/>
              <w:rPr>
                <w:rFonts w:ascii="Times New Roman" w:hAnsi="Times New Roman" w:eastAsia="仿宋"/>
                <w:kern w:val="0"/>
                <w:sz w:val="24"/>
                <w:lang w:bidi="ar"/>
              </w:rPr>
            </w:pPr>
          </w:p>
        </w:tc>
        <w:tc>
          <w:tcPr>
            <w:tcW w:w="5498" w:type="dxa"/>
            <w:tcBorders>
              <w:top w:val="nil"/>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widowControl/>
              <w:spacing w:line="234" w:lineRule="atLeast"/>
              <w:ind w:firstLine="0"/>
              <w:jc w:val="left"/>
              <w:rPr>
                <w:rFonts w:ascii="Times New Roman" w:hAnsi="Times New Roman" w:eastAsia="仿宋"/>
                <w:kern w:val="0"/>
                <w:sz w:val="24"/>
                <w:lang w:bidi="ar"/>
              </w:rPr>
            </w:pPr>
            <w:r>
              <w:rPr>
                <w:rFonts w:ascii="Times New Roman" w:hAnsi="Times New Roman" w:eastAsia="仿宋"/>
                <w:sz w:val="24"/>
              </w:rPr>
              <w:t>浙江工商大学学生公寓提升改造工程</w:t>
            </w:r>
          </w:p>
        </w:tc>
        <w:tc>
          <w:tcPr>
            <w:tcW w:w="1134" w:type="dxa"/>
            <w:tcBorders>
              <w:top w:val="nil"/>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widowControl/>
              <w:spacing w:line="234" w:lineRule="atLeast"/>
              <w:ind w:firstLine="0"/>
              <w:jc w:val="left"/>
              <w:rPr>
                <w:rFonts w:ascii="Times New Roman" w:hAnsi="Times New Roman" w:eastAsia="仿宋"/>
                <w:kern w:val="0"/>
                <w:sz w:val="24"/>
                <w:lang w:bidi="ar"/>
              </w:rPr>
            </w:pPr>
            <w:r>
              <w:rPr>
                <w:rFonts w:ascii="Times New Roman" w:hAnsi="Times New Roman" w:eastAsia="等线"/>
                <w:color w:val="000000"/>
                <w:sz w:val="22"/>
                <w:szCs w:val="22"/>
              </w:rPr>
              <w:t>308.00</w:t>
            </w:r>
          </w:p>
        </w:tc>
        <w:tc>
          <w:tcPr>
            <w:tcW w:w="1590" w:type="dxa"/>
            <w:tcBorders>
              <w:top w:val="nil"/>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widowControl/>
              <w:spacing w:line="234" w:lineRule="atLeast"/>
              <w:ind w:firstLine="0"/>
              <w:jc w:val="center"/>
              <w:rPr>
                <w:rFonts w:ascii="Times New Roman" w:hAnsi="Times New Roman" w:eastAsia="仿宋"/>
                <w:kern w:val="0"/>
                <w:sz w:val="24"/>
                <w:lang w:bidi="ar"/>
              </w:rPr>
            </w:pPr>
            <w:r>
              <w:rPr>
                <w:rFonts w:ascii="Times New Roman" w:hAnsi="Times New Roman" w:eastAsia="仿宋"/>
                <w:color w:val="000000"/>
                <w:sz w:val="24"/>
              </w:rPr>
              <w:t>竞争性磋商</w:t>
            </w:r>
          </w:p>
        </w:tc>
      </w:tr>
      <w:tr>
        <w:tblPrEx>
          <w:tblLayout w:type="fixed"/>
          <w:tblCellMar>
            <w:top w:w="0" w:type="dxa"/>
            <w:left w:w="0" w:type="dxa"/>
            <w:bottom w:w="0" w:type="dxa"/>
            <w:right w:w="0" w:type="dxa"/>
          </w:tblCellMar>
        </w:tblPrEx>
        <w:trPr>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numPr>
                <w:ilvl w:val="0"/>
                <w:numId w:val="1"/>
              </w:numPr>
              <w:suppressAutoHyphens/>
              <w:spacing w:line="234" w:lineRule="atLeast"/>
              <w:jc w:val="center"/>
              <w:rPr>
                <w:rFonts w:ascii="Times New Roman" w:hAnsi="Times New Roman" w:eastAsia="仿宋"/>
                <w:kern w:val="0"/>
                <w:sz w:val="24"/>
                <w:lang w:bidi="ar"/>
              </w:rPr>
            </w:pPr>
          </w:p>
        </w:tc>
        <w:tc>
          <w:tcPr>
            <w:tcW w:w="5498" w:type="dxa"/>
            <w:tcBorders>
              <w:top w:val="nil"/>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widowControl/>
              <w:spacing w:line="234" w:lineRule="atLeast"/>
              <w:ind w:firstLine="0"/>
              <w:jc w:val="left"/>
              <w:rPr>
                <w:rFonts w:ascii="Times New Roman" w:hAnsi="Times New Roman" w:eastAsia="仿宋"/>
                <w:kern w:val="0"/>
                <w:sz w:val="24"/>
                <w:lang w:bidi="ar"/>
              </w:rPr>
            </w:pPr>
            <w:r>
              <w:rPr>
                <w:rFonts w:ascii="Times New Roman" w:hAnsi="Times New Roman" w:eastAsia="仿宋"/>
                <w:sz w:val="24"/>
              </w:rPr>
              <w:t>浙江工商大学三号教学楼部分教室提升改造工程</w:t>
            </w:r>
          </w:p>
        </w:tc>
        <w:tc>
          <w:tcPr>
            <w:tcW w:w="1134" w:type="dxa"/>
            <w:tcBorders>
              <w:top w:val="nil"/>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widowControl/>
              <w:spacing w:line="234" w:lineRule="atLeast"/>
              <w:ind w:firstLine="0"/>
              <w:jc w:val="left"/>
              <w:rPr>
                <w:rFonts w:ascii="Times New Roman" w:hAnsi="Times New Roman" w:eastAsia="仿宋"/>
                <w:kern w:val="0"/>
                <w:sz w:val="24"/>
                <w:lang w:bidi="ar"/>
              </w:rPr>
            </w:pPr>
            <w:r>
              <w:rPr>
                <w:rFonts w:ascii="Times New Roman" w:hAnsi="Times New Roman" w:eastAsia="等线"/>
                <w:color w:val="000000"/>
                <w:sz w:val="22"/>
                <w:szCs w:val="22"/>
              </w:rPr>
              <w:t>142.50</w:t>
            </w:r>
          </w:p>
        </w:tc>
        <w:tc>
          <w:tcPr>
            <w:tcW w:w="1590" w:type="dxa"/>
            <w:tcBorders>
              <w:top w:val="nil"/>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widowControl/>
              <w:spacing w:line="234" w:lineRule="atLeast"/>
              <w:ind w:firstLine="0"/>
              <w:jc w:val="center"/>
              <w:rPr>
                <w:rFonts w:ascii="Times New Roman" w:hAnsi="Times New Roman" w:eastAsia="仿宋"/>
                <w:kern w:val="0"/>
                <w:sz w:val="24"/>
                <w:lang w:bidi="ar"/>
              </w:rPr>
            </w:pPr>
            <w:r>
              <w:rPr>
                <w:rFonts w:ascii="Times New Roman" w:hAnsi="Times New Roman" w:eastAsia="仿宋"/>
                <w:color w:val="000000"/>
                <w:sz w:val="24"/>
              </w:rPr>
              <w:t>竞争性磋商</w:t>
            </w:r>
          </w:p>
        </w:tc>
      </w:tr>
      <w:tr>
        <w:tblPrEx>
          <w:tblLayout w:type="fixed"/>
          <w:tblCellMar>
            <w:top w:w="0" w:type="dxa"/>
            <w:left w:w="0" w:type="dxa"/>
            <w:bottom w:w="0" w:type="dxa"/>
            <w:right w:w="0" w:type="dxa"/>
          </w:tblCellMar>
        </w:tblPrEx>
        <w:trPr>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numPr>
                <w:ilvl w:val="0"/>
                <w:numId w:val="1"/>
              </w:numPr>
              <w:suppressAutoHyphens/>
              <w:spacing w:line="234" w:lineRule="atLeast"/>
              <w:jc w:val="center"/>
              <w:rPr>
                <w:rFonts w:ascii="Times New Roman" w:hAnsi="Times New Roman" w:eastAsia="仿宋"/>
                <w:kern w:val="0"/>
                <w:sz w:val="24"/>
                <w:lang w:bidi="ar"/>
              </w:rPr>
            </w:pPr>
          </w:p>
        </w:tc>
        <w:tc>
          <w:tcPr>
            <w:tcW w:w="5498" w:type="dxa"/>
            <w:tcBorders>
              <w:top w:val="nil"/>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widowControl/>
              <w:spacing w:line="234" w:lineRule="atLeast"/>
              <w:ind w:firstLine="0"/>
              <w:jc w:val="left"/>
              <w:rPr>
                <w:rFonts w:ascii="Times New Roman" w:hAnsi="Times New Roman" w:eastAsia="仿宋"/>
                <w:kern w:val="0"/>
                <w:sz w:val="24"/>
                <w:lang w:bidi="ar"/>
              </w:rPr>
            </w:pPr>
            <w:r>
              <w:rPr>
                <w:rFonts w:ascii="Times New Roman" w:hAnsi="Times New Roman" w:eastAsia="仿宋"/>
                <w:sz w:val="24"/>
              </w:rPr>
              <w:t>浙江工商大学银校合作项目教工路校区智慧校园网络设备升级、智慧校园计算机实验室项目</w:t>
            </w:r>
          </w:p>
        </w:tc>
        <w:tc>
          <w:tcPr>
            <w:tcW w:w="1134" w:type="dxa"/>
            <w:tcBorders>
              <w:top w:val="nil"/>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widowControl/>
              <w:spacing w:line="234" w:lineRule="atLeast"/>
              <w:ind w:firstLine="0"/>
              <w:jc w:val="left"/>
              <w:rPr>
                <w:rFonts w:ascii="Times New Roman" w:hAnsi="Times New Roman" w:eastAsia="仿宋"/>
                <w:kern w:val="0"/>
                <w:sz w:val="24"/>
                <w:lang w:bidi="ar"/>
              </w:rPr>
            </w:pPr>
            <w:r>
              <w:rPr>
                <w:rFonts w:ascii="Times New Roman" w:hAnsi="Times New Roman" w:eastAsia="等线"/>
                <w:color w:val="000000"/>
                <w:sz w:val="22"/>
                <w:szCs w:val="22"/>
              </w:rPr>
              <w:t>101.00</w:t>
            </w:r>
          </w:p>
        </w:tc>
        <w:tc>
          <w:tcPr>
            <w:tcW w:w="1590" w:type="dxa"/>
            <w:tcBorders>
              <w:top w:val="nil"/>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widowControl/>
              <w:spacing w:line="234" w:lineRule="atLeast"/>
              <w:ind w:firstLine="0"/>
              <w:jc w:val="center"/>
              <w:rPr>
                <w:rFonts w:ascii="Times New Roman" w:hAnsi="Times New Roman" w:eastAsia="仿宋"/>
                <w:kern w:val="0"/>
                <w:sz w:val="24"/>
                <w:lang w:bidi="ar"/>
              </w:rPr>
            </w:pPr>
            <w:r>
              <w:rPr>
                <w:rFonts w:ascii="Times New Roman" w:hAnsi="Times New Roman" w:eastAsia="仿宋"/>
                <w:color w:val="000000"/>
                <w:sz w:val="24"/>
              </w:rPr>
              <w:t>公开招标</w:t>
            </w:r>
          </w:p>
        </w:tc>
      </w:tr>
      <w:tr>
        <w:tblPrEx>
          <w:tblLayout w:type="fixed"/>
          <w:tblCellMar>
            <w:top w:w="0" w:type="dxa"/>
            <w:left w:w="0" w:type="dxa"/>
            <w:bottom w:w="0" w:type="dxa"/>
            <w:right w:w="0" w:type="dxa"/>
          </w:tblCellMar>
        </w:tblPrEx>
        <w:trPr>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numPr>
                <w:ilvl w:val="0"/>
                <w:numId w:val="1"/>
              </w:numPr>
              <w:suppressAutoHyphens/>
              <w:spacing w:line="234" w:lineRule="atLeast"/>
              <w:jc w:val="center"/>
              <w:rPr>
                <w:rFonts w:ascii="Times New Roman" w:hAnsi="Times New Roman" w:eastAsia="仿宋"/>
                <w:kern w:val="0"/>
                <w:sz w:val="24"/>
                <w:lang w:bidi="ar"/>
              </w:rPr>
            </w:pPr>
          </w:p>
        </w:tc>
        <w:tc>
          <w:tcPr>
            <w:tcW w:w="5498" w:type="dxa"/>
            <w:tcBorders>
              <w:top w:val="nil"/>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widowControl/>
              <w:spacing w:line="234" w:lineRule="atLeast"/>
              <w:ind w:firstLine="0"/>
              <w:jc w:val="left"/>
              <w:rPr>
                <w:rFonts w:ascii="Times New Roman" w:hAnsi="Times New Roman" w:eastAsia="仿宋"/>
                <w:kern w:val="0"/>
                <w:sz w:val="24"/>
                <w:lang w:bidi="ar"/>
              </w:rPr>
            </w:pPr>
            <w:r>
              <w:rPr>
                <w:rFonts w:ascii="Times New Roman" w:hAnsi="Times New Roman" w:eastAsia="仿宋"/>
                <w:sz w:val="24"/>
              </w:rPr>
              <w:t>浙江工商大学2024-2026年度教职工疗休养服务（标项六）</w:t>
            </w:r>
          </w:p>
        </w:tc>
        <w:tc>
          <w:tcPr>
            <w:tcW w:w="1134" w:type="dxa"/>
            <w:tcBorders>
              <w:top w:val="nil"/>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widowControl/>
              <w:spacing w:line="234" w:lineRule="atLeast"/>
              <w:ind w:firstLine="0"/>
              <w:jc w:val="left"/>
              <w:rPr>
                <w:rFonts w:ascii="Times New Roman" w:hAnsi="Times New Roman" w:eastAsia="仿宋"/>
                <w:kern w:val="0"/>
                <w:sz w:val="24"/>
                <w:lang w:bidi="ar"/>
              </w:rPr>
            </w:pPr>
            <w:r>
              <w:rPr>
                <w:rFonts w:ascii="Times New Roman" w:hAnsi="Times New Roman" w:eastAsia="等线"/>
                <w:color w:val="000000"/>
                <w:sz w:val="22"/>
                <w:szCs w:val="22"/>
              </w:rPr>
              <w:t>160.00</w:t>
            </w:r>
          </w:p>
        </w:tc>
        <w:tc>
          <w:tcPr>
            <w:tcW w:w="1590" w:type="dxa"/>
            <w:tcBorders>
              <w:top w:val="nil"/>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widowControl/>
              <w:spacing w:line="234" w:lineRule="atLeast"/>
              <w:ind w:firstLine="0"/>
              <w:jc w:val="center"/>
              <w:rPr>
                <w:rFonts w:ascii="Times New Roman" w:hAnsi="Times New Roman" w:eastAsia="仿宋"/>
                <w:kern w:val="0"/>
                <w:sz w:val="24"/>
                <w:lang w:bidi="ar"/>
              </w:rPr>
            </w:pPr>
            <w:r>
              <w:rPr>
                <w:rFonts w:ascii="Times New Roman" w:hAnsi="Times New Roman" w:eastAsia="仿宋"/>
                <w:color w:val="000000"/>
                <w:sz w:val="24"/>
              </w:rPr>
              <w:t>公开招标</w:t>
            </w:r>
          </w:p>
        </w:tc>
      </w:tr>
      <w:tr>
        <w:tblPrEx>
          <w:tblLayout w:type="fixed"/>
          <w:tblCellMar>
            <w:top w:w="0" w:type="dxa"/>
            <w:left w:w="0" w:type="dxa"/>
            <w:bottom w:w="0" w:type="dxa"/>
            <w:right w:w="0" w:type="dxa"/>
          </w:tblCellMar>
        </w:tblPrEx>
        <w:trPr>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numPr>
                <w:ilvl w:val="0"/>
                <w:numId w:val="1"/>
              </w:numPr>
              <w:suppressAutoHyphens/>
              <w:spacing w:line="234" w:lineRule="atLeast"/>
              <w:jc w:val="center"/>
              <w:rPr>
                <w:rFonts w:ascii="Times New Roman" w:hAnsi="Times New Roman" w:eastAsia="仿宋"/>
                <w:kern w:val="0"/>
                <w:sz w:val="24"/>
                <w:lang w:bidi="ar"/>
              </w:rPr>
            </w:pPr>
          </w:p>
        </w:tc>
        <w:tc>
          <w:tcPr>
            <w:tcW w:w="5498" w:type="dxa"/>
            <w:tcBorders>
              <w:top w:val="nil"/>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widowControl/>
              <w:spacing w:line="234" w:lineRule="atLeast"/>
              <w:ind w:firstLine="0"/>
              <w:jc w:val="left"/>
              <w:rPr>
                <w:rFonts w:ascii="Times New Roman" w:hAnsi="Times New Roman" w:eastAsia="仿宋"/>
                <w:kern w:val="0"/>
                <w:sz w:val="24"/>
                <w:lang w:bidi="ar"/>
              </w:rPr>
            </w:pPr>
            <w:r>
              <w:rPr>
                <w:rFonts w:ascii="Times New Roman" w:hAnsi="Times New Roman" w:eastAsia="仿宋"/>
                <w:sz w:val="24"/>
              </w:rPr>
              <w:t>浙江工商大学2024-2026年度教职工疗休养服务（标项五）</w:t>
            </w:r>
          </w:p>
        </w:tc>
        <w:tc>
          <w:tcPr>
            <w:tcW w:w="1134" w:type="dxa"/>
            <w:tcBorders>
              <w:top w:val="nil"/>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widowControl/>
              <w:spacing w:line="234" w:lineRule="atLeast"/>
              <w:ind w:firstLine="0"/>
              <w:jc w:val="left"/>
              <w:rPr>
                <w:rFonts w:ascii="Times New Roman" w:hAnsi="Times New Roman" w:eastAsia="仿宋"/>
                <w:kern w:val="0"/>
                <w:sz w:val="24"/>
                <w:lang w:bidi="ar"/>
              </w:rPr>
            </w:pPr>
            <w:r>
              <w:rPr>
                <w:rFonts w:ascii="Times New Roman" w:hAnsi="Times New Roman" w:eastAsia="等线"/>
                <w:color w:val="000000"/>
                <w:sz w:val="22"/>
                <w:szCs w:val="22"/>
              </w:rPr>
              <w:t>160.00</w:t>
            </w:r>
          </w:p>
        </w:tc>
        <w:tc>
          <w:tcPr>
            <w:tcW w:w="1590" w:type="dxa"/>
            <w:tcBorders>
              <w:top w:val="nil"/>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widowControl/>
              <w:spacing w:line="234" w:lineRule="atLeast"/>
              <w:ind w:firstLine="0"/>
              <w:jc w:val="center"/>
              <w:rPr>
                <w:rFonts w:ascii="Times New Roman" w:hAnsi="Times New Roman" w:eastAsia="仿宋"/>
                <w:kern w:val="0"/>
                <w:sz w:val="24"/>
                <w:lang w:bidi="ar"/>
              </w:rPr>
            </w:pPr>
            <w:r>
              <w:rPr>
                <w:rFonts w:ascii="Times New Roman" w:hAnsi="Times New Roman" w:eastAsia="仿宋"/>
                <w:color w:val="000000"/>
                <w:sz w:val="24"/>
              </w:rPr>
              <w:t>公开招标</w:t>
            </w:r>
          </w:p>
        </w:tc>
      </w:tr>
      <w:tr>
        <w:tblPrEx>
          <w:tblLayout w:type="fixed"/>
          <w:tblCellMar>
            <w:top w:w="0" w:type="dxa"/>
            <w:left w:w="0" w:type="dxa"/>
            <w:bottom w:w="0" w:type="dxa"/>
            <w:right w:w="0" w:type="dxa"/>
          </w:tblCellMar>
        </w:tblPrEx>
        <w:trPr>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numPr>
                <w:ilvl w:val="0"/>
                <w:numId w:val="1"/>
              </w:numPr>
              <w:suppressAutoHyphens/>
              <w:spacing w:line="234" w:lineRule="atLeast"/>
              <w:jc w:val="center"/>
              <w:rPr>
                <w:rFonts w:ascii="Times New Roman" w:hAnsi="Times New Roman" w:eastAsia="仿宋"/>
                <w:kern w:val="0"/>
                <w:sz w:val="24"/>
                <w:lang w:bidi="ar"/>
              </w:rPr>
            </w:pPr>
          </w:p>
        </w:tc>
        <w:tc>
          <w:tcPr>
            <w:tcW w:w="5498" w:type="dxa"/>
            <w:tcBorders>
              <w:top w:val="nil"/>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widowControl/>
              <w:spacing w:line="234" w:lineRule="atLeast"/>
              <w:ind w:firstLine="0"/>
              <w:jc w:val="left"/>
              <w:rPr>
                <w:rFonts w:ascii="Times New Roman" w:hAnsi="Times New Roman" w:eastAsia="仿宋"/>
                <w:kern w:val="0"/>
                <w:sz w:val="24"/>
                <w:lang w:bidi="ar"/>
              </w:rPr>
            </w:pPr>
            <w:r>
              <w:rPr>
                <w:rFonts w:ascii="Times New Roman" w:hAnsi="Times New Roman" w:eastAsia="仿宋"/>
                <w:sz w:val="24"/>
              </w:rPr>
              <w:t>浙江工商大学2024-2026年度教职工疗休养服务（标项四）</w:t>
            </w:r>
          </w:p>
        </w:tc>
        <w:tc>
          <w:tcPr>
            <w:tcW w:w="1134" w:type="dxa"/>
            <w:tcBorders>
              <w:top w:val="nil"/>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widowControl/>
              <w:spacing w:line="234" w:lineRule="atLeast"/>
              <w:ind w:firstLine="0"/>
              <w:jc w:val="left"/>
              <w:rPr>
                <w:rFonts w:ascii="Times New Roman" w:hAnsi="Times New Roman" w:eastAsia="仿宋"/>
                <w:kern w:val="0"/>
                <w:sz w:val="24"/>
                <w:lang w:bidi="ar"/>
              </w:rPr>
            </w:pPr>
            <w:r>
              <w:rPr>
                <w:rFonts w:ascii="Times New Roman" w:hAnsi="Times New Roman" w:eastAsia="等线"/>
                <w:color w:val="000000"/>
                <w:sz w:val="22"/>
                <w:szCs w:val="22"/>
              </w:rPr>
              <w:t>160.00</w:t>
            </w:r>
          </w:p>
        </w:tc>
        <w:tc>
          <w:tcPr>
            <w:tcW w:w="1590" w:type="dxa"/>
            <w:tcBorders>
              <w:top w:val="nil"/>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widowControl/>
              <w:spacing w:line="234" w:lineRule="atLeast"/>
              <w:ind w:firstLine="0"/>
              <w:jc w:val="center"/>
              <w:rPr>
                <w:rFonts w:ascii="Times New Roman" w:hAnsi="Times New Roman" w:eastAsia="仿宋"/>
                <w:kern w:val="0"/>
                <w:sz w:val="24"/>
                <w:lang w:bidi="ar"/>
              </w:rPr>
            </w:pPr>
            <w:r>
              <w:rPr>
                <w:rFonts w:ascii="Times New Roman" w:hAnsi="Times New Roman" w:eastAsia="仿宋"/>
                <w:color w:val="000000"/>
                <w:sz w:val="24"/>
              </w:rPr>
              <w:t>公开招标</w:t>
            </w:r>
          </w:p>
        </w:tc>
      </w:tr>
      <w:tr>
        <w:tblPrEx>
          <w:tblLayout w:type="fixed"/>
          <w:tblCellMar>
            <w:top w:w="0" w:type="dxa"/>
            <w:left w:w="0" w:type="dxa"/>
            <w:bottom w:w="0" w:type="dxa"/>
            <w:right w:w="0" w:type="dxa"/>
          </w:tblCellMar>
        </w:tblPrEx>
        <w:trPr>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numPr>
                <w:ilvl w:val="0"/>
                <w:numId w:val="1"/>
              </w:numPr>
              <w:suppressAutoHyphens/>
              <w:spacing w:line="234" w:lineRule="atLeast"/>
              <w:jc w:val="center"/>
              <w:rPr>
                <w:rFonts w:ascii="Times New Roman" w:hAnsi="Times New Roman" w:eastAsia="仿宋"/>
                <w:kern w:val="0"/>
                <w:sz w:val="24"/>
                <w:lang w:bidi="ar"/>
              </w:rPr>
            </w:pPr>
          </w:p>
        </w:tc>
        <w:tc>
          <w:tcPr>
            <w:tcW w:w="5498" w:type="dxa"/>
            <w:tcBorders>
              <w:top w:val="nil"/>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widowControl/>
              <w:spacing w:line="234" w:lineRule="atLeast"/>
              <w:ind w:firstLine="0"/>
              <w:jc w:val="left"/>
              <w:rPr>
                <w:rFonts w:ascii="Times New Roman" w:hAnsi="Times New Roman" w:eastAsia="仿宋"/>
                <w:kern w:val="0"/>
                <w:sz w:val="24"/>
                <w:lang w:bidi="ar"/>
              </w:rPr>
            </w:pPr>
            <w:r>
              <w:rPr>
                <w:rFonts w:ascii="Times New Roman" w:hAnsi="Times New Roman" w:eastAsia="仿宋"/>
                <w:sz w:val="24"/>
              </w:rPr>
              <w:t>浙江工商大学2024-2026年度教职工疗休养服务（标项三）</w:t>
            </w:r>
          </w:p>
        </w:tc>
        <w:tc>
          <w:tcPr>
            <w:tcW w:w="1134" w:type="dxa"/>
            <w:tcBorders>
              <w:top w:val="nil"/>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widowControl/>
              <w:spacing w:line="234" w:lineRule="atLeast"/>
              <w:ind w:firstLine="0"/>
              <w:jc w:val="left"/>
              <w:rPr>
                <w:rFonts w:ascii="Times New Roman" w:hAnsi="Times New Roman" w:eastAsia="仿宋"/>
                <w:kern w:val="0"/>
                <w:sz w:val="24"/>
                <w:lang w:bidi="ar"/>
              </w:rPr>
            </w:pPr>
            <w:r>
              <w:rPr>
                <w:rFonts w:ascii="Times New Roman" w:hAnsi="Times New Roman" w:eastAsia="等线"/>
                <w:color w:val="000000"/>
                <w:sz w:val="22"/>
                <w:szCs w:val="22"/>
              </w:rPr>
              <w:t>160.00</w:t>
            </w:r>
          </w:p>
        </w:tc>
        <w:tc>
          <w:tcPr>
            <w:tcW w:w="1590" w:type="dxa"/>
            <w:tcBorders>
              <w:top w:val="nil"/>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widowControl/>
              <w:spacing w:line="234" w:lineRule="atLeast"/>
              <w:ind w:firstLine="0"/>
              <w:jc w:val="center"/>
              <w:rPr>
                <w:rFonts w:ascii="Times New Roman" w:hAnsi="Times New Roman" w:eastAsia="仿宋"/>
                <w:kern w:val="0"/>
                <w:sz w:val="24"/>
                <w:lang w:bidi="ar"/>
              </w:rPr>
            </w:pPr>
            <w:r>
              <w:rPr>
                <w:rFonts w:ascii="Times New Roman" w:hAnsi="Times New Roman" w:eastAsia="仿宋"/>
                <w:color w:val="000000"/>
                <w:sz w:val="24"/>
              </w:rPr>
              <w:t>公开招标</w:t>
            </w:r>
          </w:p>
        </w:tc>
      </w:tr>
      <w:tr>
        <w:tblPrEx>
          <w:tblLayout w:type="fixed"/>
          <w:tblCellMar>
            <w:top w:w="0" w:type="dxa"/>
            <w:left w:w="0" w:type="dxa"/>
            <w:bottom w:w="0" w:type="dxa"/>
            <w:right w:w="0" w:type="dxa"/>
          </w:tblCellMar>
        </w:tblPrEx>
        <w:trPr>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numPr>
                <w:ilvl w:val="0"/>
                <w:numId w:val="1"/>
              </w:numPr>
              <w:suppressAutoHyphens/>
              <w:spacing w:line="234" w:lineRule="atLeast"/>
              <w:jc w:val="center"/>
              <w:rPr>
                <w:rFonts w:ascii="Times New Roman" w:hAnsi="Times New Roman" w:eastAsia="仿宋"/>
                <w:kern w:val="0"/>
                <w:sz w:val="24"/>
                <w:lang w:bidi="ar"/>
              </w:rPr>
            </w:pPr>
          </w:p>
        </w:tc>
        <w:tc>
          <w:tcPr>
            <w:tcW w:w="5498" w:type="dxa"/>
            <w:tcBorders>
              <w:top w:val="nil"/>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widowControl/>
              <w:spacing w:line="234" w:lineRule="atLeast"/>
              <w:ind w:firstLine="0"/>
              <w:jc w:val="left"/>
              <w:rPr>
                <w:rFonts w:ascii="Times New Roman" w:hAnsi="Times New Roman" w:eastAsia="仿宋"/>
                <w:kern w:val="0"/>
                <w:sz w:val="24"/>
                <w:lang w:bidi="ar"/>
              </w:rPr>
            </w:pPr>
            <w:r>
              <w:rPr>
                <w:rFonts w:ascii="Times New Roman" w:hAnsi="Times New Roman" w:eastAsia="仿宋"/>
                <w:sz w:val="24"/>
              </w:rPr>
              <w:t>浙江工商大学2024-2026年度教职工疗休养服务（标项二）</w:t>
            </w:r>
          </w:p>
        </w:tc>
        <w:tc>
          <w:tcPr>
            <w:tcW w:w="1134" w:type="dxa"/>
            <w:tcBorders>
              <w:top w:val="nil"/>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widowControl/>
              <w:spacing w:line="234" w:lineRule="atLeast"/>
              <w:ind w:firstLine="0"/>
              <w:jc w:val="left"/>
              <w:rPr>
                <w:rFonts w:ascii="Times New Roman" w:hAnsi="Times New Roman" w:eastAsia="仿宋"/>
                <w:kern w:val="0"/>
                <w:sz w:val="24"/>
                <w:lang w:bidi="ar"/>
              </w:rPr>
            </w:pPr>
            <w:r>
              <w:rPr>
                <w:rFonts w:ascii="Times New Roman" w:hAnsi="Times New Roman" w:eastAsia="等线"/>
                <w:color w:val="000000"/>
                <w:sz w:val="22"/>
                <w:szCs w:val="22"/>
              </w:rPr>
              <w:t>160.00</w:t>
            </w:r>
          </w:p>
        </w:tc>
        <w:tc>
          <w:tcPr>
            <w:tcW w:w="1590" w:type="dxa"/>
            <w:tcBorders>
              <w:top w:val="nil"/>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widowControl/>
              <w:spacing w:line="234" w:lineRule="atLeast"/>
              <w:ind w:firstLine="0"/>
              <w:jc w:val="center"/>
              <w:rPr>
                <w:rFonts w:ascii="Times New Roman" w:hAnsi="Times New Roman" w:eastAsia="仿宋"/>
                <w:kern w:val="0"/>
                <w:sz w:val="24"/>
                <w:lang w:bidi="ar"/>
              </w:rPr>
            </w:pPr>
            <w:r>
              <w:rPr>
                <w:rFonts w:ascii="Times New Roman" w:hAnsi="Times New Roman" w:eastAsia="仿宋"/>
                <w:color w:val="000000"/>
                <w:sz w:val="24"/>
              </w:rPr>
              <w:t>公开招标</w:t>
            </w:r>
          </w:p>
        </w:tc>
      </w:tr>
      <w:tr>
        <w:tblPrEx>
          <w:tblLayout w:type="fixed"/>
          <w:tblCellMar>
            <w:top w:w="0" w:type="dxa"/>
            <w:left w:w="0" w:type="dxa"/>
            <w:bottom w:w="0" w:type="dxa"/>
            <w:right w:w="0" w:type="dxa"/>
          </w:tblCellMar>
        </w:tblPrEx>
        <w:trPr>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numPr>
                <w:ilvl w:val="0"/>
                <w:numId w:val="1"/>
              </w:numPr>
              <w:suppressAutoHyphens/>
              <w:spacing w:line="234" w:lineRule="atLeast"/>
              <w:jc w:val="center"/>
              <w:rPr>
                <w:rFonts w:ascii="Times New Roman" w:hAnsi="Times New Roman" w:eastAsia="仿宋"/>
                <w:kern w:val="0"/>
                <w:sz w:val="24"/>
                <w:lang w:bidi="ar"/>
              </w:rPr>
            </w:pPr>
          </w:p>
        </w:tc>
        <w:tc>
          <w:tcPr>
            <w:tcW w:w="5498" w:type="dxa"/>
            <w:tcBorders>
              <w:top w:val="nil"/>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widowControl/>
              <w:spacing w:line="234" w:lineRule="atLeast"/>
              <w:ind w:firstLine="0"/>
              <w:jc w:val="left"/>
              <w:rPr>
                <w:rFonts w:ascii="Times New Roman" w:hAnsi="Times New Roman" w:eastAsia="仿宋"/>
                <w:kern w:val="0"/>
                <w:sz w:val="24"/>
                <w:lang w:bidi="ar"/>
              </w:rPr>
            </w:pPr>
            <w:r>
              <w:rPr>
                <w:rFonts w:ascii="Times New Roman" w:hAnsi="Times New Roman" w:eastAsia="仿宋"/>
                <w:sz w:val="24"/>
              </w:rPr>
              <w:t>浙江工商大学2024-2026年度教职工疗休养服务（标项一）</w:t>
            </w:r>
          </w:p>
        </w:tc>
        <w:tc>
          <w:tcPr>
            <w:tcW w:w="1134" w:type="dxa"/>
            <w:tcBorders>
              <w:top w:val="nil"/>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widowControl/>
              <w:spacing w:line="234" w:lineRule="atLeast"/>
              <w:ind w:firstLine="0"/>
              <w:jc w:val="left"/>
              <w:rPr>
                <w:rFonts w:ascii="Times New Roman" w:hAnsi="Times New Roman" w:eastAsia="仿宋"/>
                <w:kern w:val="0"/>
                <w:sz w:val="24"/>
                <w:lang w:bidi="ar"/>
              </w:rPr>
            </w:pPr>
            <w:r>
              <w:rPr>
                <w:rFonts w:ascii="Times New Roman" w:hAnsi="Times New Roman" w:eastAsia="等线"/>
                <w:color w:val="000000"/>
                <w:sz w:val="22"/>
                <w:szCs w:val="22"/>
              </w:rPr>
              <w:t>160.00</w:t>
            </w:r>
          </w:p>
        </w:tc>
        <w:tc>
          <w:tcPr>
            <w:tcW w:w="1590" w:type="dxa"/>
            <w:tcBorders>
              <w:top w:val="nil"/>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widowControl/>
              <w:spacing w:line="234" w:lineRule="atLeast"/>
              <w:ind w:firstLine="0"/>
              <w:jc w:val="center"/>
              <w:rPr>
                <w:rFonts w:ascii="Times New Roman" w:hAnsi="Times New Roman" w:eastAsia="仿宋"/>
                <w:kern w:val="0"/>
                <w:sz w:val="24"/>
                <w:lang w:bidi="ar"/>
              </w:rPr>
            </w:pPr>
            <w:r>
              <w:rPr>
                <w:rFonts w:ascii="Times New Roman" w:hAnsi="Times New Roman" w:eastAsia="仿宋"/>
                <w:color w:val="000000"/>
                <w:sz w:val="24"/>
              </w:rPr>
              <w:t>公开招标</w:t>
            </w:r>
          </w:p>
        </w:tc>
      </w:tr>
      <w:tr>
        <w:tblPrEx>
          <w:tblLayout w:type="fixed"/>
          <w:tblCellMar>
            <w:top w:w="0" w:type="dxa"/>
            <w:left w:w="0" w:type="dxa"/>
            <w:bottom w:w="0" w:type="dxa"/>
            <w:right w:w="0" w:type="dxa"/>
          </w:tblCellMar>
        </w:tblPrEx>
        <w:trPr>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numPr>
                <w:ilvl w:val="0"/>
                <w:numId w:val="1"/>
              </w:numPr>
              <w:suppressAutoHyphens/>
              <w:spacing w:line="234" w:lineRule="atLeast"/>
              <w:jc w:val="center"/>
              <w:rPr>
                <w:rFonts w:ascii="Times New Roman" w:hAnsi="Times New Roman" w:eastAsia="仿宋"/>
                <w:kern w:val="0"/>
                <w:sz w:val="24"/>
                <w:lang w:bidi="ar"/>
              </w:rPr>
            </w:pPr>
          </w:p>
        </w:tc>
        <w:tc>
          <w:tcPr>
            <w:tcW w:w="5498" w:type="dxa"/>
            <w:tcBorders>
              <w:top w:val="nil"/>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widowControl/>
              <w:spacing w:line="234" w:lineRule="atLeast"/>
              <w:ind w:firstLine="0"/>
              <w:jc w:val="left"/>
              <w:rPr>
                <w:rFonts w:ascii="Times New Roman" w:hAnsi="Times New Roman" w:eastAsia="仿宋"/>
                <w:kern w:val="0"/>
                <w:sz w:val="24"/>
                <w:lang w:bidi="ar"/>
              </w:rPr>
            </w:pPr>
            <w:r>
              <w:rPr>
                <w:rFonts w:ascii="Times New Roman" w:hAnsi="Times New Roman" w:eastAsia="仿宋"/>
                <w:sz w:val="24"/>
              </w:rPr>
              <w:t>浙江工商大学2024年文科实验中心标准化机房改造</w:t>
            </w:r>
          </w:p>
        </w:tc>
        <w:tc>
          <w:tcPr>
            <w:tcW w:w="1134" w:type="dxa"/>
            <w:tcBorders>
              <w:top w:val="nil"/>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widowControl/>
              <w:spacing w:line="234" w:lineRule="atLeast"/>
              <w:ind w:firstLine="0"/>
              <w:jc w:val="left"/>
              <w:rPr>
                <w:rFonts w:ascii="Times New Roman" w:hAnsi="Times New Roman" w:eastAsia="仿宋"/>
                <w:kern w:val="0"/>
                <w:sz w:val="24"/>
                <w:lang w:bidi="ar"/>
              </w:rPr>
            </w:pPr>
            <w:r>
              <w:rPr>
                <w:rFonts w:ascii="Times New Roman" w:hAnsi="Times New Roman" w:eastAsia="等线"/>
                <w:color w:val="000000"/>
                <w:sz w:val="22"/>
                <w:szCs w:val="22"/>
              </w:rPr>
              <w:t>116.1618</w:t>
            </w:r>
          </w:p>
        </w:tc>
        <w:tc>
          <w:tcPr>
            <w:tcW w:w="1590" w:type="dxa"/>
            <w:tcBorders>
              <w:top w:val="nil"/>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widowControl/>
              <w:spacing w:line="234" w:lineRule="atLeast"/>
              <w:ind w:firstLine="0"/>
              <w:jc w:val="center"/>
              <w:rPr>
                <w:rFonts w:ascii="Times New Roman" w:hAnsi="Times New Roman" w:eastAsia="仿宋"/>
                <w:kern w:val="0"/>
                <w:sz w:val="24"/>
                <w:lang w:bidi="ar"/>
              </w:rPr>
            </w:pPr>
            <w:r>
              <w:rPr>
                <w:rFonts w:ascii="Times New Roman" w:hAnsi="Times New Roman" w:eastAsia="仿宋"/>
                <w:color w:val="000000"/>
                <w:sz w:val="24"/>
              </w:rPr>
              <w:t>公开招标</w:t>
            </w:r>
          </w:p>
        </w:tc>
      </w:tr>
      <w:tr>
        <w:tblPrEx>
          <w:tblLayout w:type="fixed"/>
          <w:tblCellMar>
            <w:top w:w="0" w:type="dxa"/>
            <w:left w:w="0" w:type="dxa"/>
            <w:bottom w:w="0" w:type="dxa"/>
            <w:right w:w="0" w:type="dxa"/>
          </w:tblCellMar>
        </w:tblPrEx>
        <w:trPr>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numPr>
                <w:ilvl w:val="0"/>
                <w:numId w:val="1"/>
              </w:numPr>
              <w:suppressAutoHyphens/>
              <w:spacing w:line="234" w:lineRule="atLeast"/>
              <w:jc w:val="center"/>
              <w:rPr>
                <w:rFonts w:ascii="Times New Roman" w:hAnsi="Times New Roman" w:eastAsia="仿宋"/>
                <w:kern w:val="0"/>
                <w:sz w:val="24"/>
                <w:lang w:bidi="ar"/>
              </w:rPr>
            </w:pPr>
          </w:p>
        </w:tc>
        <w:tc>
          <w:tcPr>
            <w:tcW w:w="5498" w:type="dxa"/>
            <w:tcBorders>
              <w:top w:val="nil"/>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widowControl/>
              <w:spacing w:line="234" w:lineRule="atLeast"/>
              <w:ind w:firstLine="0"/>
              <w:jc w:val="left"/>
              <w:rPr>
                <w:rFonts w:ascii="Times New Roman" w:hAnsi="Times New Roman" w:eastAsia="仿宋"/>
                <w:kern w:val="0"/>
                <w:sz w:val="24"/>
                <w:lang w:bidi="ar"/>
              </w:rPr>
            </w:pPr>
            <w:r>
              <w:rPr>
                <w:rFonts w:ascii="Times New Roman" w:hAnsi="Times New Roman" w:eastAsia="仿宋"/>
                <w:sz w:val="24"/>
              </w:rPr>
              <w:t>浙江工商大学北京研究院北京办公场地租赁</w:t>
            </w:r>
          </w:p>
        </w:tc>
        <w:tc>
          <w:tcPr>
            <w:tcW w:w="1134" w:type="dxa"/>
            <w:tcBorders>
              <w:top w:val="nil"/>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widowControl/>
              <w:spacing w:line="234" w:lineRule="atLeast"/>
              <w:ind w:firstLine="0"/>
              <w:jc w:val="left"/>
              <w:rPr>
                <w:rFonts w:ascii="Times New Roman" w:hAnsi="Times New Roman" w:eastAsia="仿宋"/>
                <w:kern w:val="0"/>
                <w:sz w:val="24"/>
                <w:lang w:bidi="ar"/>
              </w:rPr>
            </w:pPr>
            <w:r>
              <w:rPr>
                <w:rFonts w:ascii="Times New Roman" w:hAnsi="Times New Roman" w:eastAsia="等线"/>
                <w:color w:val="000000"/>
                <w:sz w:val="22"/>
                <w:szCs w:val="22"/>
              </w:rPr>
              <w:t>143.20</w:t>
            </w:r>
          </w:p>
        </w:tc>
        <w:tc>
          <w:tcPr>
            <w:tcW w:w="1590" w:type="dxa"/>
            <w:tcBorders>
              <w:top w:val="nil"/>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widowControl/>
              <w:spacing w:line="234" w:lineRule="atLeast"/>
              <w:ind w:firstLine="0"/>
              <w:jc w:val="center"/>
              <w:rPr>
                <w:rFonts w:ascii="Times New Roman" w:hAnsi="Times New Roman" w:eastAsia="仿宋"/>
                <w:kern w:val="0"/>
                <w:sz w:val="24"/>
                <w:lang w:bidi="ar"/>
              </w:rPr>
            </w:pPr>
            <w:r>
              <w:rPr>
                <w:rFonts w:ascii="Times New Roman" w:hAnsi="Times New Roman" w:eastAsia="仿宋"/>
                <w:sz w:val="24"/>
              </w:rPr>
              <w:t>单一来源</w:t>
            </w:r>
          </w:p>
        </w:tc>
      </w:tr>
      <w:tr>
        <w:tblPrEx>
          <w:tblLayout w:type="fixed"/>
          <w:tblCellMar>
            <w:top w:w="0" w:type="dxa"/>
            <w:left w:w="0" w:type="dxa"/>
            <w:bottom w:w="0" w:type="dxa"/>
            <w:right w:w="0" w:type="dxa"/>
          </w:tblCellMar>
        </w:tblPrEx>
        <w:trPr>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numPr>
                <w:ilvl w:val="0"/>
                <w:numId w:val="1"/>
              </w:numPr>
              <w:suppressAutoHyphens/>
              <w:spacing w:line="234" w:lineRule="atLeast"/>
              <w:jc w:val="center"/>
              <w:rPr>
                <w:rFonts w:ascii="Times New Roman" w:hAnsi="Times New Roman" w:eastAsia="仿宋"/>
                <w:kern w:val="0"/>
                <w:sz w:val="24"/>
                <w:lang w:bidi="ar"/>
              </w:rPr>
            </w:pPr>
          </w:p>
        </w:tc>
        <w:tc>
          <w:tcPr>
            <w:tcW w:w="5498" w:type="dxa"/>
            <w:tcBorders>
              <w:top w:val="nil"/>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widowControl/>
              <w:spacing w:line="234" w:lineRule="atLeast"/>
              <w:ind w:firstLine="0"/>
              <w:jc w:val="left"/>
              <w:rPr>
                <w:rFonts w:ascii="Times New Roman" w:hAnsi="Times New Roman" w:eastAsia="仿宋"/>
                <w:kern w:val="0"/>
                <w:sz w:val="24"/>
                <w:lang w:bidi="ar"/>
              </w:rPr>
            </w:pPr>
            <w:r>
              <w:rPr>
                <w:rFonts w:ascii="Times New Roman" w:hAnsi="Times New Roman" w:eastAsia="仿宋"/>
                <w:sz w:val="24"/>
              </w:rPr>
              <w:t>浙江工商大学2024-2027年劳务派遣服务</w:t>
            </w:r>
          </w:p>
        </w:tc>
        <w:tc>
          <w:tcPr>
            <w:tcW w:w="1134" w:type="dxa"/>
            <w:tcBorders>
              <w:top w:val="nil"/>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widowControl/>
              <w:spacing w:line="234" w:lineRule="atLeast"/>
              <w:ind w:firstLine="0"/>
              <w:jc w:val="left"/>
              <w:rPr>
                <w:rFonts w:ascii="Times New Roman" w:hAnsi="Times New Roman" w:eastAsia="仿宋"/>
                <w:kern w:val="0"/>
                <w:sz w:val="24"/>
                <w:lang w:bidi="ar"/>
              </w:rPr>
            </w:pPr>
            <w:r>
              <w:rPr>
                <w:rFonts w:ascii="Times New Roman" w:hAnsi="Times New Roman" w:eastAsia="等线"/>
                <w:color w:val="000000"/>
                <w:sz w:val="22"/>
                <w:szCs w:val="22"/>
              </w:rPr>
              <w:t>109.80</w:t>
            </w:r>
          </w:p>
        </w:tc>
        <w:tc>
          <w:tcPr>
            <w:tcW w:w="1590" w:type="dxa"/>
            <w:tcBorders>
              <w:top w:val="nil"/>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widowControl/>
              <w:spacing w:line="234" w:lineRule="atLeast"/>
              <w:ind w:firstLine="0"/>
              <w:jc w:val="center"/>
              <w:rPr>
                <w:rFonts w:ascii="Times New Roman" w:hAnsi="Times New Roman" w:eastAsia="仿宋"/>
                <w:kern w:val="0"/>
                <w:sz w:val="24"/>
                <w:lang w:bidi="ar"/>
              </w:rPr>
            </w:pPr>
            <w:r>
              <w:rPr>
                <w:rFonts w:ascii="Times New Roman" w:hAnsi="Times New Roman" w:eastAsia="仿宋"/>
                <w:sz w:val="24"/>
              </w:rPr>
              <w:t>单一来源</w:t>
            </w:r>
          </w:p>
        </w:tc>
      </w:tr>
      <w:tr>
        <w:tblPrEx>
          <w:tblLayout w:type="fixed"/>
          <w:tblCellMar>
            <w:top w:w="0" w:type="dxa"/>
            <w:left w:w="0" w:type="dxa"/>
            <w:bottom w:w="0" w:type="dxa"/>
            <w:right w:w="0" w:type="dxa"/>
          </w:tblCellMar>
        </w:tblPrEx>
        <w:trPr>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numPr>
                <w:ilvl w:val="0"/>
                <w:numId w:val="1"/>
              </w:numPr>
              <w:suppressAutoHyphens/>
              <w:spacing w:line="234" w:lineRule="atLeast"/>
              <w:jc w:val="center"/>
              <w:rPr>
                <w:rFonts w:ascii="Times New Roman" w:hAnsi="Times New Roman" w:eastAsia="仿宋"/>
                <w:kern w:val="0"/>
                <w:sz w:val="24"/>
                <w:lang w:bidi="ar"/>
              </w:rPr>
            </w:pPr>
          </w:p>
        </w:tc>
        <w:tc>
          <w:tcPr>
            <w:tcW w:w="5498" w:type="dxa"/>
            <w:tcBorders>
              <w:top w:val="nil"/>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widowControl/>
              <w:spacing w:line="234" w:lineRule="atLeast"/>
              <w:ind w:firstLine="0"/>
              <w:jc w:val="left"/>
              <w:rPr>
                <w:rFonts w:ascii="Times New Roman" w:hAnsi="Times New Roman" w:eastAsia="仿宋"/>
                <w:kern w:val="0"/>
                <w:sz w:val="24"/>
                <w:lang w:bidi="ar"/>
              </w:rPr>
            </w:pPr>
            <w:r>
              <w:rPr>
                <w:rFonts w:ascii="Times New Roman" w:hAnsi="Times New Roman" w:eastAsia="仿宋"/>
                <w:sz w:val="24"/>
              </w:rPr>
              <w:t>浙江工商大学数值模拟平台采购项目</w:t>
            </w:r>
          </w:p>
        </w:tc>
        <w:tc>
          <w:tcPr>
            <w:tcW w:w="1134" w:type="dxa"/>
            <w:tcBorders>
              <w:top w:val="nil"/>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widowControl/>
              <w:spacing w:line="234" w:lineRule="atLeast"/>
              <w:ind w:firstLine="0"/>
              <w:jc w:val="left"/>
              <w:rPr>
                <w:rFonts w:ascii="Times New Roman" w:hAnsi="Times New Roman" w:eastAsia="仿宋"/>
                <w:kern w:val="0"/>
                <w:sz w:val="24"/>
                <w:lang w:bidi="ar"/>
              </w:rPr>
            </w:pPr>
            <w:r>
              <w:rPr>
                <w:rFonts w:ascii="Times New Roman" w:hAnsi="Times New Roman" w:eastAsia="等线"/>
                <w:color w:val="000000"/>
                <w:sz w:val="22"/>
                <w:szCs w:val="22"/>
              </w:rPr>
              <w:t>128.40</w:t>
            </w:r>
          </w:p>
        </w:tc>
        <w:tc>
          <w:tcPr>
            <w:tcW w:w="1590" w:type="dxa"/>
            <w:tcBorders>
              <w:top w:val="nil"/>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widowControl/>
              <w:spacing w:line="234" w:lineRule="atLeast"/>
              <w:ind w:firstLine="0"/>
              <w:jc w:val="center"/>
              <w:rPr>
                <w:rFonts w:ascii="Times New Roman" w:hAnsi="Times New Roman" w:eastAsia="仿宋"/>
                <w:kern w:val="0"/>
                <w:sz w:val="24"/>
                <w:lang w:bidi="ar"/>
              </w:rPr>
            </w:pPr>
            <w:r>
              <w:rPr>
                <w:rFonts w:ascii="Times New Roman" w:hAnsi="Times New Roman" w:eastAsia="仿宋"/>
                <w:color w:val="000000"/>
                <w:sz w:val="24"/>
              </w:rPr>
              <w:t>公开招标</w:t>
            </w:r>
          </w:p>
        </w:tc>
      </w:tr>
      <w:tr>
        <w:tblPrEx>
          <w:tblLayout w:type="fixed"/>
          <w:tblCellMar>
            <w:top w:w="0" w:type="dxa"/>
            <w:left w:w="0" w:type="dxa"/>
            <w:bottom w:w="0" w:type="dxa"/>
            <w:right w:w="0" w:type="dxa"/>
          </w:tblCellMar>
        </w:tblPrEx>
        <w:trPr>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numPr>
                <w:ilvl w:val="0"/>
                <w:numId w:val="1"/>
              </w:numPr>
              <w:suppressAutoHyphens/>
              <w:spacing w:line="234" w:lineRule="atLeast"/>
              <w:jc w:val="center"/>
              <w:rPr>
                <w:rFonts w:ascii="Times New Roman" w:hAnsi="Times New Roman" w:eastAsia="仿宋"/>
                <w:kern w:val="0"/>
                <w:sz w:val="24"/>
                <w:lang w:bidi="ar"/>
              </w:rPr>
            </w:pPr>
          </w:p>
        </w:tc>
        <w:tc>
          <w:tcPr>
            <w:tcW w:w="5498" w:type="dxa"/>
            <w:tcBorders>
              <w:top w:val="nil"/>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widowControl/>
              <w:spacing w:line="234" w:lineRule="atLeast"/>
              <w:ind w:firstLine="0"/>
              <w:jc w:val="left"/>
              <w:rPr>
                <w:rFonts w:ascii="Times New Roman" w:hAnsi="Times New Roman" w:eastAsia="仿宋"/>
                <w:kern w:val="0"/>
                <w:sz w:val="24"/>
                <w:lang w:bidi="ar"/>
              </w:rPr>
            </w:pPr>
            <w:r>
              <w:rPr>
                <w:rFonts w:ascii="Times New Roman" w:hAnsi="Times New Roman" w:eastAsia="仿宋"/>
                <w:sz w:val="24"/>
              </w:rPr>
              <w:t>浙江工商大学金沙港玉屏洲电梯更新项目</w:t>
            </w:r>
          </w:p>
        </w:tc>
        <w:tc>
          <w:tcPr>
            <w:tcW w:w="1134" w:type="dxa"/>
            <w:tcBorders>
              <w:top w:val="nil"/>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widowControl/>
              <w:spacing w:line="234" w:lineRule="atLeast"/>
              <w:ind w:firstLine="0"/>
              <w:jc w:val="left"/>
              <w:rPr>
                <w:rFonts w:ascii="Times New Roman" w:hAnsi="Times New Roman" w:eastAsia="仿宋"/>
                <w:kern w:val="0"/>
                <w:sz w:val="24"/>
                <w:lang w:bidi="ar"/>
              </w:rPr>
            </w:pPr>
            <w:r>
              <w:rPr>
                <w:rFonts w:ascii="Times New Roman" w:hAnsi="Times New Roman" w:eastAsia="等线"/>
                <w:color w:val="000000"/>
                <w:sz w:val="22"/>
                <w:szCs w:val="22"/>
              </w:rPr>
              <w:t>268.00</w:t>
            </w:r>
          </w:p>
        </w:tc>
        <w:tc>
          <w:tcPr>
            <w:tcW w:w="1590" w:type="dxa"/>
            <w:tcBorders>
              <w:top w:val="nil"/>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widowControl/>
              <w:spacing w:line="234" w:lineRule="atLeast"/>
              <w:ind w:firstLine="0"/>
              <w:jc w:val="center"/>
              <w:rPr>
                <w:rFonts w:ascii="Times New Roman" w:hAnsi="Times New Roman" w:eastAsia="仿宋"/>
                <w:kern w:val="0"/>
                <w:sz w:val="24"/>
                <w:lang w:bidi="ar"/>
              </w:rPr>
            </w:pPr>
            <w:r>
              <w:rPr>
                <w:rFonts w:ascii="Times New Roman" w:hAnsi="Times New Roman" w:eastAsia="仿宋"/>
                <w:color w:val="000000"/>
                <w:sz w:val="24"/>
              </w:rPr>
              <w:t>公开招标</w:t>
            </w:r>
          </w:p>
        </w:tc>
      </w:tr>
      <w:tr>
        <w:tblPrEx>
          <w:tblLayout w:type="fixed"/>
          <w:tblCellMar>
            <w:top w:w="0" w:type="dxa"/>
            <w:left w:w="0" w:type="dxa"/>
            <w:bottom w:w="0" w:type="dxa"/>
            <w:right w:w="0" w:type="dxa"/>
          </w:tblCellMar>
        </w:tblPrEx>
        <w:trPr>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numPr>
                <w:ilvl w:val="0"/>
                <w:numId w:val="1"/>
              </w:numPr>
              <w:suppressAutoHyphens/>
              <w:spacing w:line="234" w:lineRule="atLeast"/>
              <w:jc w:val="center"/>
              <w:rPr>
                <w:rFonts w:ascii="Times New Roman" w:hAnsi="Times New Roman" w:eastAsia="仿宋"/>
                <w:kern w:val="0"/>
                <w:sz w:val="24"/>
                <w:lang w:bidi="ar"/>
              </w:rPr>
            </w:pPr>
          </w:p>
        </w:tc>
        <w:tc>
          <w:tcPr>
            <w:tcW w:w="5498" w:type="dxa"/>
            <w:tcBorders>
              <w:top w:val="nil"/>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widowControl/>
              <w:spacing w:line="234" w:lineRule="atLeast"/>
              <w:ind w:firstLine="0"/>
              <w:jc w:val="left"/>
              <w:rPr>
                <w:rFonts w:ascii="Times New Roman" w:hAnsi="Times New Roman" w:eastAsia="仿宋"/>
                <w:kern w:val="0"/>
                <w:sz w:val="24"/>
                <w:lang w:bidi="ar"/>
              </w:rPr>
            </w:pPr>
            <w:r>
              <w:rPr>
                <w:rFonts w:ascii="Times New Roman" w:hAnsi="Times New Roman" w:eastAsia="仿宋"/>
                <w:sz w:val="24"/>
              </w:rPr>
              <w:t>浙江工商大学省高校青年教师公寓丽泽苑43套房源租赁服务</w:t>
            </w:r>
          </w:p>
        </w:tc>
        <w:tc>
          <w:tcPr>
            <w:tcW w:w="1134" w:type="dxa"/>
            <w:tcBorders>
              <w:top w:val="nil"/>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widowControl/>
              <w:spacing w:line="234" w:lineRule="atLeast"/>
              <w:ind w:firstLine="0"/>
              <w:jc w:val="left"/>
              <w:rPr>
                <w:rFonts w:ascii="Times New Roman" w:hAnsi="Times New Roman" w:eastAsia="仿宋"/>
                <w:kern w:val="0"/>
                <w:sz w:val="24"/>
                <w:lang w:bidi="ar"/>
              </w:rPr>
            </w:pPr>
            <w:r>
              <w:rPr>
                <w:rFonts w:ascii="Times New Roman" w:hAnsi="Times New Roman" w:eastAsia="等线"/>
                <w:color w:val="000000"/>
                <w:sz w:val="22"/>
                <w:szCs w:val="22"/>
              </w:rPr>
              <w:t>235.554</w:t>
            </w:r>
          </w:p>
        </w:tc>
        <w:tc>
          <w:tcPr>
            <w:tcW w:w="1590" w:type="dxa"/>
            <w:tcBorders>
              <w:top w:val="nil"/>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widowControl/>
              <w:spacing w:line="234" w:lineRule="atLeast"/>
              <w:ind w:firstLine="0"/>
              <w:jc w:val="center"/>
              <w:rPr>
                <w:rFonts w:ascii="Times New Roman" w:hAnsi="Times New Roman" w:eastAsia="仿宋"/>
                <w:kern w:val="0"/>
                <w:sz w:val="24"/>
                <w:lang w:bidi="ar"/>
              </w:rPr>
            </w:pPr>
            <w:r>
              <w:rPr>
                <w:rFonts w:ascii="Times New Roman" w:hAnsi="Times New Roman" w:eastAsia="仿宋"/>
                <w:sz w:val="24"/>
              </w:rPr>
              <w:t>单一来源</w:t>
            </w:r>
          </w:p>
        </w:tc>
      </w:tr>
      <w:tr>
        <w:tblPrEx>
          <w:tblLayout w:type="fixed"/>
          <w:tblCellMar>
            <w:top w:w="0" w:type="dxa"/>
            <w:left w:w="0" w:type="dxa"/>
            <w:bottom w:w="0" w:type="dxa"/>
            <w:right w:w="0" w:type="dxa"/>
          </w:tblCellMar>
        </w:tblPrEx>
        <w:trPr>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numPr>
                <w:ilvl w:val="0"/>
                <w:numId w:val="1"/>
              </w:numPr>
              <w:suppressAutoHyphens/>
              <w:spacing w:line="234" w:lineRule="atLeast"/>
              <w:jc w:val="center"/>
              <w:rPr>
                <w:rFonts w:ascii="Times New Roman" w:hAnsi="Times New Roman" w:eastAsia="仿宋"/>
                <w:kern w:val="0"/>
                <w:sz w:val="24"/>
                <w:lang w:bidi="ar"/>
              </w:rPr>
            </w:pPr>
          </w:p>
        </w:tc>
        <w:tc>
          <w:tcPr>
            <w:tcW w:w="5498" w:type="dxa"/>
            <w:tcBorders>
              <w:top w:val="nil"/>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widowControl/>
              <w:spacing w:line="234" w:lineRule="atLeast"/>
              <w:ind w:firstLine="0"/>
              <w:jc w:val="left"/>
              <w:rPr>
                <w:rFonts w:ascii="Times New Roman" w:hAnsi="Times New Roman" w:eastAsia="仿宋"/>
                <w:kern w:val="0"/>
                <w:sz w:val="24"/>
                <w:lang w:bidi="ar"/>
              </w:rPr>
            </w:pPr>
            <w:r>
              <w:rPr>
                <w:rFonts w:ascii="Times New Roman" w:hAnsi="Times New Roman" w:eastAsia="仿宋"/>
                <w:sz w:val="24"/>
              </w:rPr>
              <w:t>浙江工商大学下沙校区消防水系统维修改造项目</w:t>
            </w:r>
          </w:p>
        </w:tc>
        <w:tc>
          <w:tcPr>
            <w:tcW w:w="1134" w:type="dxa"/>
            <w:tcBorders>
              <w:top w:val="nil"/>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widowControl/>
              <w:spacing w:line="234" w:lineRule="atLeast"/>
              <w:ind w:firstLine="0"/>
              <w:jc w:val="left"/>
              <w:rPr>
                <w:rFonts w:ascii="Times New Roman" w:hAnsi="Times New Roman" w:eastAsia="仿宋"/>
                <w:kern w:val="0"/>
                <w:sz w:val="24"/>
                <w:lang w:bidi="ar"/>
              </w:rPr>
            </w:pPr>
            <w:r>
              <w:rPr>
                <w:rFonts w:ascii="Times New Roman" w:hAnsi="Times New Roman" w:eastAsia="等线"/>
                <w:color w:val="000000"/>
                <w:sz w:val="22"/>
                <w:szCs w:val="22"/>
              </w:rPr>
              <w:t>320.70</w:t>
            </w:r>
          </w:p>
        </w:tc>
        <w:tc>
          <w:tcPr>
            <w:tcW w:w="1590" w:type="dxa"/>
            <w:tcBorders>
              <w:top w:val="nil"/>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widowControl/>
              <w:spacing w:line="234" w:lineRule="atLeast"/>
              <w:ind w:firstLine="0"/>
              <w:jc w:val="center"/>
              <w:rPr>
                <w:rFonts w:ascii="Times New Roman" w:hAnsi="Times New Roman" w:eastAsia="仿宋"/>
                <w:kern w:val="0"/>
                <w:sz w:val="24"/>
                <w:lang w:bidi="ar"/>
              </w:rPr>
            </w:pPr>
            <w:r>
              <w:rPr>
                <w:rFonts w:ascii="Times New Roman" w:hAnsi="Times New Roman" w:eastAsia="仿宋"/>
                <w:color w:val="000000"/>
                <w:sz w:val="24"/>
              </w:rPr>
              <w:t>竞争性磋商</w:t>
            </w:r>
          </w:p>
        </w:tc>
      </w:tr>
      <w:tr>
        <w:tblPrEx>
          <w:tblLayout w:type="fixed"/>
          <w:tblCellMar>
            <w:top w:w="0" w:type="dxa"/>
            <w:left w:w="0" w:type="dxa"/>
            <w:bottom w:w="0" w:type="dxa"/>
            <w:right w:w="0" w:type="dxa"/>
          </w:tblCellMar>
        </w:tblPrEx>
        <w:trPr>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numPr>
                <w:ilvl w:val="0"/>
                <w:numId w:val="1"/>
              </w:numPr>
              <w:suppressAutoHyphens/>
              <w:spacing w:line="234" w:lineRule="atLeast"/>
              <w:jc w:val="center"/>
              <w:rPr>
                <w:rFonts w:ascii="Times New Roman" w:hAnsi="Times New Roman" w:eastAsia="仿宋"/>
                <w:kern w:val="0"/>
                <w:sz w:val="24"/>
                <w:lang w:bidi="ar"/>
              </w:rPr>
            </w:pPr>
          </w:p>
        </w:tc>
        <w:tc>
          <w:tcPr>
            <w:tcW w:w="5498" w:type="dxa"/>
            <w:tcBorders>
              <w:top w:val="nil"/>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widowControl/>
              <w:spacing w:line="234" w:lineRule="atLeast"/>
              <w:ind w:firstLine="0"/>
              <w:jc w:val="left"/>
              <w:rPr>
                <w:rFonts w:ascii="Times New Roman" w:hAnsi="Times New Roman" w:eastAsia="仿宋"/>
                <w:kern w:val="0"/>
                <w:sz w:val="24"/>
                <w:lang w:bidi="ar"/>
              </w:rPr>
            </w:pPr>
            <w:r>
              <w:rPr>
                <w:rFonts w:ascii="Times New Roman" w:hAnsi="Times New Roman" w:eastAsia="仿宋"/>
                <w:sz w:val="24"/>
              </w:rPr>
              <w:t>浙江工商大学新污染物生态健康评估及治理技术平台采购项目</w:t>
            </w:r>
          </w:p>
        </w:tc>
        <w:tc>
          <w:tcPr>
            <w:tcW w:w="1134" w:type="dxa"/>
            <w:tcBorders>
              <w:top w:val="nil"/>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widowControl/>
              <w:spacing w:line="234" w:lineRule="atLeast"/>
              <w:ind w:firstLine="0"/>
              <w:jc w:val="left"/>
              <w:rPr>
                <w:rFonts w:ascii="Times New Roman" w:hAnsi="Times New Roman" w:eastAsia="仿宋"/>
                <w:kern w:val="0"/>
                <w:sz w:val="24"/>
                <w:lang w:bidi="ar"/>
              </w:rPr>
            </w:pPr>
            <w:r>
              <w:rPr>
                <w:rFonts w:ascii="Times New Roman" w:hAnsi="Times New Roman" w:eastAsia="等线"/>
                <w:color w:val="000000"/>
                <w:sz w:val="22"/>
                <w:szCs w:val="22"/>
              </w:rPr>
              <w:t>309.80</w:t>
            </w:r>
          </w:p>
        </w:tc>
        <w:tc>
          <w:tcPr>
            <w:tcW w:w="1590" w:type="dxa"/>
            <w:tcBorders>
              <w:top w:val="nil"/>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widowControl/>
              <w:spacing w:line="234" w:lineRule="atLeast"/>
              <w:ind w:firstLine="0"/>
              <w:jc w:val="center"/>
              <w:rPr>
                <w:rFonts w:ascii="Times New Roman" w:hAnsi="Times New Roman" w:eastAsia="仿宋"/>
                <w:kern w:val="0"/>
                <w:sz w:val="24"/>
                <w:lang w:bidi="ar"/>
              </w:rPr>
            </w:pPr>
            <w:r>
              <w:rPr>
                <w:rFonts w:ascii="Times New Roman" w:hAnsi="Times New Roman" w:eastAsia="仿宋"/>
                <w:color w:val="000000"/>
                <w:sz w:val="24"/>
              </w:rPr>
              <w:t>公开招标</w:t>
            </w:r>
          </w:p>
        </w:tc>
      </w:tr>
      <w:tr>
        <w:tblPrEx>
          <w:tblLayout w:type="fixed"/>
          <w:tblCellMar>
            <w:top w:w="0" w:type="dxa"/>
            <w:left w:w="0" w:type="dxa"/>
            <w:bottom w:w="0" w:type="dxa"/>
            <w:right w:w="0" w:type="dxa"/>
          </w:tblCellMar>
        </w:tblPrEx>
        <w:trPr>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numPr>
                <w:ilvl w:val="0"/>
                <w:numId w:val="1"/>
              </w:numPr>
              <w:suppressAutoHyphens/>
              <w:spacing w:line="234" w:lineRule="atLeast"/>
              <w:jc w:val="center"/>
              <w:rPr>
                <w:rFonts w:ascii="Times New Roman" w:hAnsi="Times New Roman" w:eastAsia="仿宋"/>
                <w:kern w:val="0"/>
                <w:sz w:val="24"/>
                <w:lang w:bidi="ar"/>
              </w:rPr>
            </w:pPr>
          </w:p>
        </w:tc>
        <w:tc>
          <w:tcPr>
            <w:tcW w:w="5498" w:type="dxa"/>
            <w:tcBorders>
              <w:top w:val="nil"/>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widowControl/>
              <w:spacing w:line="234" w:lineRule="atLeast"/>
              <w:ind w:firstLine="0"/>
              <w:jc w:val="left"/>
              <w:rPr>
                <w:rFonts w:ascii="Times New Roman" w:hAnsi="Times New Roman" w:eastAsia="仿宋"/>
                <w:kern w:val="0"/>
                <w:sz w:val="24"/>
                <w:lang w:bidi="ar"/>
              </w:rPr>
            </w:pPr>
            <w:r>
              <w:rPr>
                <w:rFonts w:ascii="Times New Roman" w:hAnsi="Times New Roman" w:eastAsia="仿宋"/>
                <w:sz w:val="24"/>
              </w:rPr>
              <w:t>浙江工商大学继续教育学院2024年秋季至2027年春季教材</w:t>
            </w:r>
          </w:p>
        </w:tc>
        <w:tc>
          <w:tcPr>
            <w:tcW w:w="1134" w:type="dxa"/>
            <w:tcBorders>
              <w:top w:val="nil"/>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widowControl/>
              <w:spacing w:line="234" w:lineRule="atLeast"/>
              <w:ind w:firstLine="0"/>
              <w:jc w:val="left"/>
              <w:rPr>
                <w:rFonts w:ascii="Times New Roman" w:hAnsi="Times New Roman" w:eastAsia="仿宋"/>
                <w:kern w:val="0"/>
                <w:sz w:val="24"/>
                <w:lang w:bidi="ar"/>
              </w:rPr>
            </w:pPr>
            <w:r>
              <w:rPr>
                <w:rFonts w:ascii="Times New Roman" w:hAnsi="Times New Roman" w:eastAsia="等线"/>
                <w:color w:val="000000"/>
                <w:sz w:val="22"/>
                <w:szCs w:val="22"/>
              </w:rPr>
              <w:t>120.00</w:t>
            </w:r>
          </w:p>
        </w:tc>
        <w:tc>
          <w:tcPr>
            <w:tcW w:w="1590" w:type="dxa"/>
            <w:tcBorders>
              <w:top w:val="nil"/>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widowControl/>
              <w:spacing w:line="234" w:lineRule="atLeast"/>
              <w:ind w:firstLine="0"/>
              <w:jc w:val="center"/>
              <w:rPr>
                <w:rFonts w:ascii="Times New Roman" w:hAnsi="Times New Roman" w:eastAsia="仿宋"/>
                <w:kern w:val="0"/>
                <w:sz w:val="24"/>
                <w:lang w:bidi="ar"/>
              </w:rPr>
            </w:pPr>
            <w:r>
              <w:rPr>
                <w:rFonts w:ascii="Times New Roman" w:hAnsi="Times New Roman" w:eastAsia="仿宋"/>
                <w:color w:val="000000"/>
                <w:sz w:val="24"/>
              </w:rPr>
              <w:t>公开招标</w:t>
            </w:r>
          </w:p>
        </w:tc>
      </w:tr>
      <w:tr>
        <w:tblPrEx>
          <w:tblLayout w:type="fixed"/>
          <w:tblCellMar>
            <w:top w:w="0" w:type="dxa"/>
            <w:left w:w="0" w:type="dxa"/>
            <w:bottom w:w="0" w:type="dxa"/>
            <w:right w:w="0" w:type="dxa"/>
          </w:tblCellMar>
        </w:tblPrEx>
        <w:trPr>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numPr>
                <w:ilvl w:val="0"/>
                <w:numId w:val="1"/>
              </w:numPr>
              <w:suppressAutoHyphens/>
              <w:spacing w:line="234" w:lineRule="atLeast"/>
              <w:jc w:val="center"/>
              <w:rPr>
                <w:rFonts w:ascii="Times New Roman" w:hAnsi="Times New Roman" w:eastAsia="仿宋"/>
                <w:kern w:val="0"/>
                <w:sz w:val="24"/>
                <w:lang w:bidi="ar"/>
              </w:rPr>
            </w:pPr>
          </w:p>
        </w:tc>
        <w:tc>
          <w:tcPr>
            <w:tcW w:w="5498" w:type="dxa"/>
            <w:tcBorders>
              <w:top w:val="nil"/>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widowControl/>
              <w:spacing w:line="234" w:lineRule="atLeast"/>
              <w:ind w:firstLine="0"/>
              <w:jc w:val="left"/>
              <w:rPr>
                <w:rFonts w:ascii="Times New Roman" w:hAnsi="Times New Roman" w:eastAsia="仿宋"/>
                <w:kern w:val="0"/>
                <w:sz w:val="24"/>
                <w:lang w:bidi="ar"/>
              </w:rPr>
            </w:pPr>
            <w:r>
              <w:rPr>
                <w:rFonts w:ascii="Times New Roman" w:hAnsi="Times New Roman" w:eastAsia="仿宋"/>
                <w:sz w:val="24"/>
              </w:rPr>
              <w:t>浙江工商大学2024年教工路公寓提升项目</w:t>
            </w:r>
          </w:p>
        </w:tc>
        <w:tc>
          <w:tcPr>
            <w:tcW w:w="1134" w:type="dxa"/>
            <w:tcBorders>
              <w:top w:val="nil"/>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widowControl/>
              <w:spacing w:line="234" w:lineRule="atLeast"/>
              <w:ind w:firstLine="0"/>
              <w:jc w:val="left"/>
              <w:rPr>
                <w:rFonts w:ascii="Times New Roman" w:hAnsi="Times New Roman" w:eastAsia="仿宋"/>
                <w:kern w:val="0"/>
                <w:sz w:val="24"/>
                <w:lang w:bidi="ar"/>
              </w:rPr>
            </w:pPr>
            <w:r>
              <w:rPr>
                <w:rFonts w:ascii="Times New Roman" w:hAnsi="Times New Roman" w:eastAsia="等线"/>
                <w:color w:val="000000"/>
                <w:sz w:val="22"/>
                <w:szCs w:val="22"/>
              </w:rPr>
              <w:t>473.866</w:t>
            </w:r>
          </w:p>
        </w:tc>
        <w:tc>
          <w:tcPr>
            <w:tcW w:w="1590" w:type="dxa"/>
            <w:tcBorders>
              <w:top w:val="nil"/>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widowControl/>
              <w:spacing w:line="234" w:lineRule="atLeast"/>
              <w:ind w:firstLine="0"/>
              <w:jc w:val="center"/>
              <w:rPr>
                <w:rFonts w:ascii="Times New Roman" w:hAnsi="Times New Roman" w:eastAsia="仿宋"/>
                <w:kern w:val="0"/>
                <w:sz w:val="24"/>
                <w:lang w:bidi="ar"/>
              </w:rPr>
            </w:pPr>
            <w:r>
              <w:rPr>
                <w:rFonts w:ascii="Times New Roman" w:hAnsi="Times New Roman" w:eastAsia="仿宋"/>
                <w:color w:val="000000"/>
                <w:sz w:val="24"/>
              </w:rPr>
              <w:t>公开招标</w:t>
            </w:r>
          </w:p>
        </w:tc>
      </w:tr>
      <w:tr>
        <w:tblPrEx>
          <w:tblLayout w:type="fixed"/>
          <w:tblCellMar>
            <w:top w:w="0" w:type="dxa"/>
            <w:left w:w="0" w:type="dxa"/>
            <w:bottom w:w="0" w:type="dxa"/>
            <w:right w:w="0" w:type="dxa"/>
          </w:tblCellMar>
        </w:tblPrEx>
        <w:trPr>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numPr>
                <w:ilvl w:val="0"/>
                <w:numId w:val="1"/>
              </w:numPr>
              <w:suppressAutoHyphens/>
              <w:spacing w:line="234" w:lineRule="atLeast"/>
              <w:jc w:val="center"/>
              <w:rPr>
                <w:rFonts w:ascii="Times New Roman" w:hAnsi="Times New Roman" w:eastAsia="仿宋"/>
                <w:kern w:val="0"/>
                <w:sz w:val="24"/>
                <w:lang w:bidi="ar"/>
              </w:rPr>
            </w:pPr>
          </w:p>
        </w:tc>
        <w:tc>
          <w:tcPr>
            <w:tcW w:w="5498" w:type="dxa"/>
            <w:tcBorders>
              <w:top w:val="nil"/>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widowControl/>
              <w:spacing w:line="234" w:lineRule="atLeast"/>
              <w:ind w:firstLine="0"/>
              <w:jc w:val="left"/>
              <w:rPr>
                <w:rFonts w:ascii="Times New Roman" w:hAnsi="Times New Roman" w:eastAsia="仿宋"/>
                <w:kern w:val="0"/>
                <w:sz w:val="24"/>
                <w:lang w:bidi="ar"/>
              </w:rPr>
            </w:pPr>
            <w:r>
              <w:rPr>
                <w:rFonts w:ascii="Times New Roman" w:hAnsi="Times New Roman" w:eastAsia="仿宋"/>
                <w:sz w:val="24"/>
              </w:rPr>
              <w:t>浙江工商大学食品功能与营养健康学科创新引智基地（111引智基地）平台建设项目</w:t>
            </w:r>
          </w:p>
        </w:tc>
        <w:tc>
          <w:tcPr>
            <w:tcW w:w="1134" w:type="dxa"/>
            <w:tcBorders>
              <w:top w:val="nil"/>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widowControl/>
              <w:spacing w:line="234" w:lineRule="atLeast"/>
              <w:ind w:firstLine="0"/>
              <w:jc w:val="left"/>
              <w:rPr>
                <w:rFonts w:ascii="Times New Roman" w:hAnsi="Times New Roman" w:eastAsia="仿宋"/>
                <w:kern w:val="0"/>
                <w:sz w:val="24"/>
                <w:lang w:bidi="ar"/>
              </w:rPr>
            </w:pPr>
            <w:r>
              <w:rPr>
                <w:rFonts w:ascii="Times New Roman" w:hAnsi="Times New Roman" w:eastAsia="等线"/>
                <w:color w:val="000000"/>
                <w:sz w:val="22"/>
                <w:szCs w:val="22"/>
              </w:rPr>
              <w:t>479.68</w:t>
            </w:r>
          </w:p>
        </w:tc>
        <w:tc>
          <w:tcPr>
            <w:tcW w:w="1590" w:type="dxa"/>
            <w:tcBorders>
              <w:top w:val="nil"/>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widowControl/>
              <w:spacing w:line="234" w:lineRule="atLeast"/>
              <w:ind w:firstLine="0"/>
              <w:jc w:val="center"/>
              <w:rPr>
                <w:rFonts w:ascii="Times New Roman" w:hAnsi="Times New Roman" w:eastAsia="仿宋"/>
                <w:kern w:val="0"/>
                <w:sz w:val="24"/>
                <w:lang w:bidi="ar"/>
              </w:rPr>
            </w:pPr>
            <w:r>
              <w:rPr>
                <w:rFonts w:ascii="Times New Roman" w:hAnsi="Times New Roman" w:eastAsia="仿宋"/>
                <w:color w:val="000000"/>
                <w:sz w:val="24"/>
              </w:rPr>
              <w:t>公开招标</w:t>
            </w:r>
          </w:p>
        </w:tc>
      </w:tr>
      <w:tr>
        <w:tblPrEx>
          <w:tblLayout w:type="fixed"/>
          <w:tblCellMar>
            <w:top w:w="0" w:type="dxa"/>
            <w:left w:w="0" w:type="dxa"/>
            <w:bottom w:w="0" w:type="dxa"/>
            <w:right w:w="0" w:type="dxa"/>
          </w:tblCellMar>
        </w:tblPrEx>
        <w:trPr>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numPr>
                <w:ilvl w:val="0"/>
                <w:numId w:val="1"/>
              </w:numPr>
              <w:suppressAutoHyphens/>
              <w:spacing w:line="234" w:lineRule="atLeast"/>
              <w:jc w:val="center"/>
              <w:rPr>
                <w:rFonts w:ascii="Times New Roman" w:hAnsi="Times New Roman" w:eastAsia="仿宋"/>
                <w:kern w:val="0"/>
                <w:sz w:val="24"/>
                <w:lang w:bidi="ar"/>
              </w:rPr>
            </w:pPr>
          </w:p>
        </w:tc>
        <w:tc>
          <w:tcPr>
            <w:tcW w:w="5498" w:type="dxa"/>
            <w:tcBorders>
              <w:top w:val="nil"/>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widowControl/>
              <w:spacing w:line="234" w:lineRule="atLeast"/>
              <w:ind w:firstLine="0"/>
              <w:jc w:val="left"/>
              <w:rPr>
                <w:rFonts w:ascii="Times New Roman" w:hAnsi="Times New Roman" w:eastAsia="仿宋"/>
                <w:kern w:val="0"/>
                <w:sz w:val="24"/>
                <w:lang w:bidi="ar"/>
              </w:rPr>
            </w:pPr>
            <w:r>
              <w:rPr>
                <w:rFonts w:ascii="Times New Roman" w:hAnsi="Times New Roman" w:eastAsia="仿宋"/>
                <w:sz w:val="24"/>
              </w:rPr>
              <w:t>浙江工商大学绿谷食品健康产业研究院设备采购项目(标项三)</w:t>
            </w:r>
          </w:p>
        </w:tc>
        <w:tc>
          <w:tcPr>
            <w:tcW w:w="1134" w:type="dxa"/>
            <w:tcBorders>
              <w:top w:val="nil"/>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widowControl/>
              <w:spacing w:line="234" w:lineRule="atLeast"/>
              <w:ind w:firstLine="0"/>
              <w:jc w:val="left"/>
              <w:rPr>
                <w:rFonts w:ascii="Times New Roman" w:hAnsi="Times New Roman" w:eastAsia="仿宋"/>
                <w:kern w:val="0"/>
                <w:sz w:val="24"/>
                <w:lang w:bidi="ar"/>
              </w:rPr>
            </w:pPr>
            <w:r>
              <w:rPr>
                <w:rFonts w:ascii="Times New Roman" w:hAnsi="Times New Roman" w:eastAsia="等线"/>
                <w:color w:val="000000"/>
                <w:sz w:val="22"/>
                <w:szCs w:val="22"/>
              </w:rPr>
              <w:t>493.75</w:t>
            </w:r>
          </w:p>
        </w:tc>
        <w:tc>
          <w:tcPr>
            <w:tcW w:w="1590" w:type="dxa"/>
            <w:tcBorders>
              <w:top w:val="nil"/>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widowControl/>
              <w:spacing w:line="234" w:lineRule="atLeast"/>
              <w:ind w:firstLine="0"/>
              <w:jc w:val="center"/>
              <w:rPr>
                <w:rFonts w:ascii="Times New Roman" w:hAnsi="Times New Roman" w:eastAsia="仿宋"/>
                <w:kern w:val="0"/>
                <w:sz w:val="24"/>
                <w:lang w:bidi="ar"/>
              </w:rPr>
            </w:pPr>
            <w:r>
              <w:rPr>
                <w:rFonts w:ascii="Times New Roman" w:hAnsi="Times New Roman" w:eastAsia="仿宋"/>
                <w:color w:val="000000"/>
                <w:sz w:val="24"/>
              </w:rPr>
              <w:t>公开招标</w:t>
            </w:r>
          </w:p>
        </w:tc>
      </w:tr>
      <w:tr>
        <w:tblPrEx>
          <w:tblLayout w:type="fixed"/>
          <w:tblCellMar>
            <w:top w:w="0" w:type="dxa"/>
            <w:left w:w="0" w:type="dxa"/>
            <w:bottom w:w="0" w:type="dxa"/>
            <w:right w:w="0" w:type="dxa"/>
          </w:tblCellMar>
        </w:tblPrEx>
        <w:trPr>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1"/>
              </w:numPr>
              <w:suppressAutoHyphens/>
              <w:spacing w:line="234" w:lineRule="atLeast"/>
              <w:jc w:val="center"/>
              <w:rPr>
                <w:rFonts w:ascii="Times New Roman" w:hAnsi="Times New Roman" w:eastAsia="仿宋"/>
                <w:kern w:val="0"/>
                <w:sz w:val="24"/>
                <w:lang w:bidi="ar"/>
              </w:rPr>
            </w:pPr>
          </w:p>
        </w:tc>
        <w:tc>
          <w:tcPr>
            <w:tcW w:w="5498" w:type="dxa"/>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spacing w:line="234" w:lineRule="atLeast"/>
              <w:ind w:firstLine="0"/>
              <w:jc w:val="left"/>
              <w:rPr>
                <w:rFonts w:ascii="Times New Roman" w:hAnsi="Times New Roman" w:eastAsia="仿宋"/>
                <w:kern w:val="0"/>
                <w:sz w:val="24"/>
                <w:lang w:bidi="ar"/>
              </w:rPr>
            </w:pPr>
            <w:r>
              <w:rPr>
                <w:rFonts w:ascii="Times New Roman" w:hAnsi="Times New Roman" w:eastAsia="仿宋"/>
                <w:sz w:val="24"/>
              </w:rPr>
              <w:t>浙江工商大学绿谷食品健康产业研究院设备采购项目(标项二)</w:t>
            </w:r>
          </w:p>
        </w:tc>
        <w:tc>
          <w:tcPr>
            <w:tcW w:w="1134" w:type="dxa"/>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spacing w:line="234" w:lineRule="atLeast"/>
              <w:ind w:firstLine="0"/>
              <w:jc w:val="left"/>
              <w:rPr>
                <w:rFonts w:ascii="Times New Roman" w:hAnsi="Times New Roman" w:eastAsia="仿宋"/>
                <w:kern w:val="0"/>
                <w:sz w:val="24"/>
                <w:lang w:bidi="ar"/>
              </w:rPr>
            </w:pPr>
            <w:r>
              <w:rPr>
                <w:rFonts w:ascii="Times New Roman" w:hAnsi="Times New Roman" w:eastAsia="等线"/>
                <w:color w:val="000000"/>
                <w:sz w:val="22"/>
                <w:szCs w:val="22"/>
              </w:rPr>
              <w:t>167.91</w:t>
            </w:r>
          </w:p>
        </w:tc>
        <w:tc>
          <w:tcPr>
            <w:tcW w:w="1590" w:type="dxa"/>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spacing w:line="234" w:lineRule="atLeast"/>
              <w:ind w:firstLine="0"/>
              <w:jc w:val="center"/>
              <w:rPr>
                <w:rFonts w:ascii="Times New Roman" w:hAnsi="Times New Roman" w:eastAsia="仿宋"/>
                <w:kern w:val="0"/>
                <w:sz w:val="24"/>
                <w:lang w:bidi="ar"/>
              </w:rPr>
            </w:pPr>
            <w:r>
              <w:rPr>
                <w:rFonts w:ascii="Times New Roman" w:hAnsi="Times New Roman" w:eastAsia="仿宋"/>
                <w:color w:val="000000"/>
                <w:sz w:val="24"/>
              </w:rPr>
              <w:t>公开招标</w:t>
            </w:r>
          </w:p>
        </w:tc>
      </w:tr>
      <w:tr>
        <w:tblPrEx>
          <w:tblLayout w:type="fixed"/>
          <w:tblCellMar>
            <w:top w:w="0" w:type="dxa"/>
            <w:left w:w="0" w:type="dxa"/>
            <w:bottom w:w="0" w:type="dxa"/>
            <w:right w:w="0" w:type="dxa"/>
          </w:tblCellMar>
        </w:tblPrEx>
        <w:trPr>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1"/>
              </w:numPr>
              <w:suppressAutoHyphens/>
              <w:spacing w:line="234" w:lineRule="atLeast"/>
              <w:jc w:val="center"/>
              <w:rPr>
                <w:rFonts w:ascii="Times New Roman" w:hAnsi="Times New Roman" w:eastAsia="仿宋"/>
                <w:kern w:val="0"/>
                <w:sz w:val="24"/>
                <w:lang w:bidi="ar"/>
              </w:rPr>
            </w:pPr>
          </w:p>
        </w:tc>
        <w:tc>
          <w:tcPr>
            <w:tcW w:w="5498" w:type="dxa"/>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spacing w:line="234" w:lineRule="atLeast"/>
              <w:ind w:firstLine="0"/>
              <w:jc w:val="left"/>
              <w:rPr>
                <w:rFonts w:ascii="Times New Roman" w:hAnsi="Times New Roman" w:eastAsia="仿宋"/>
                <w:kern w:val="0"/>
                <w:sz w:val="24"/>
                <w:lang w:bidi="ar"/>
              </w:rPr>
            </w:pPr>
            <w:r>
              <w:rPr>
                <w:rFonts w:ascii="Times New Roman" w:hAnsi="Times New Roman" w:eastAsia="仿宋"/>
                <w:sz w:val="24"/>
              </w:rPr>
              <w:t>浙江工商大学两校区公共洗手间卫生用纸</w:t>
            </w:r>
          </w:p>
        </w:tc>
        <w:tc>
          <w:tcPr>
            <w:tcW w:w="1134" w:type="dxa"/>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spacing w:line="234" w:lineRule="atLeast"/>
              <w:ind w:firstLine="0"/>
              <w:jc w:val="left"/>
              <w:rPr>
                <w:rFonts w:ascii="Times New Roman" w:hAnsi="Times New Roman" w:eastAsia="仿宋"/>
                <w:kern w:val="0"/>
                <w:sz w:val="24"/>
                <w:lang w:bidi="ar"/>
              </w:rPr>
            </w:pPr>
            <w:r>
              <w:rPr>
                <w:rFonts w:ascii="Times New Roman" w:hAnsi="Times New Roman" w:eastAsia="等线"/>
                <w:color w:val="000000"/>
                <w:sz w:val="22"/>
                <w:szCs w:val="22"/>
              </w:rPr>
              <w:t>190.00</w:t>
            </w:r>
          </w:p>
        </w:tc>
        <w:tc>
          <w:tcPr>
            <w:tcW w:w="1590" w:type="dxa"/>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spacing w:line="234" w:lineRule="atLeast"/>
              <w:ind w:firstLine="0"/>
              <w:jc w:val="center"/>
              <w:rPr>
                <w:rFonts w:ascii="Times New Roman" w:hAnsi="Times New Roman" w:eastAsia="仿宋"/>
                <w:kern w:val="0"/>
                <w:sz w:val="24"/>
                <w:lang w:bidi="ar"/>
              </w:rPr>
            </w:pPr>
            <w:r>
              <w:rPr>
                <w:rFonts w:ascii="Times New Roman" w:hAnsi="Times New Roman" w:eastAsia="仿宋"/>
                <w:color w:val="000000"/>
                <w:sz w:val="24"/>
              </w:rPr>
              <w:t>公开招标</w:t>
            </w:r>
          </w:p>
        </w:tc>
      </w:tr>
      <w:tr>
        <w:tblPrEx>
          <w:tblLayout w:type="fixed"/>
          <w:tblCellMar>
            <w:top w:w="0" w:type="dxa"/>
            <w:left w:w="0" w:type="dxa"/>
            <w:bottom w:w="0" w:type="dxa"/>
            <w:right w:w="0" w:type="dxa"/>
          </w:tblCellMar>
        </w:tblPrEx>
        <w:trPr>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1"/>
              </w:numPr>
              <w:suppressAutoHyphens/>
              <w:spacing w:line="234" w:lineRule="atLeast"/>
              <w:jc w:val="center"/>
              <w:rPr>
                <w:rFonts w:ascii="Times New Roman" w:hAnsi="Times New Roman" w:eastAsia="仿宋"/>
                <w:kern w:val="0"/>
                <w:sz w:val="24"/>
                <w:lang w:bidi="ar"/>
              </w:rPr>
            </w:pPr>
          </w:p>
        </w:tc>
        <w:tc>
          <w:tcPr>
            <w:tcW w:w="5498" w:type="dxa"/>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spacing w:line="234" w:lineRule="atLeast"/>
              <w:ind w:firstLine="0"/>
              <w:jc w:val="left"/>
              <w:rPr>
                <w:rFonts w:ascii="Times New Roman" w:hAnsi="Times New Roman" w:eastAsia="仿宋"/>
                <w:kern w:val="0"/>
                <w:sz w:val="24"/>
                <w:lang w:bidi="ar"/>
              </w:rPr>
            </w:pPr>
            <w:r>
              <w:rPr>
                <w:rFonts w:ascii="Times New Roman" w:hAnsi="Times New Roman" w:eastAsia="仿宋"/>
                <w:sz w:val="24"/>
              </w:rPr>
              <w:t>浙江工商大学下沙校区生活垃圾清运处置</w:t>
            </w:r>
          </w:p>
        </w:tc>
        <w:tc>
          <w:tcPr>
            <w:tcW w:w="1134" w:type="dxa"/>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spacing w:line="234" w:lineRule="atLeast"/>
              <w:ind w:firstLine="0"/>
              <w:jc w:val="left"/>
              <w:rPr>
                <w:rFonts w:ascii="Times New Roman" w:hAnsi="Times New Roman" w:eastAsia="仿宋"/>
                <w:sz w:val="24"/>
              </w:rPr>
            </w:pPr>
            <w:r>
              <w:rPr>
                <w:rFonts w:ascii="Times New Roman" w:hAnsi="Times New Roman" w:eastAsia="等线"/>
                <w:color w:val="000000"/>
                <w:sz w:val="22"/>
                <w:szCs w:val="22"/>
              </w:rPr>
              <w:t>215.00</w:t>
            </w:r>
          </w:p>
        </w:tc>
        <w:tc>
          <w:tcPr>
            <w:tcW w:w="1590" w:type="dxa"/>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spacing w:line="234" w:lineRule="atLeast"/>
              <w:ind w:firstLine="0"/>
              <w:jc w:val="center"/>
              <w:rPr>
                <w:rFonts w:ascii="Times New Roman" w:hAnsi="Times New Roman" w:eastAsia="仿宋"/>
                <w:sz w:val="24"/>
              </w:rPr>
            </w:pPr>
            <w:r>
              <w:rPr>
                <w:rFonts w:ascii="Times New Roman" w:hAnsi="Times New Roman" w:eastAsia="仿宋"/>
                <w:sz w:val="24"/>
              </w:rPr>
              <w:t>单一来源</w:t>
            </w:r>
          </w:p>
        </w:tc>
      </w:tr>
    </w:tbl>
    <w:p>
      <w:pPr>
        <w:pStyle w:val="17"/>
        <w:spacing w:line="560" w:lineRule="exact"/>
        <w:ind w:firstLine="640"/>
        <w:rPr>
          <w:rFonts w:ascii="黑体" w:hAnsi="黑体" w:eastAsia="黑体" w:cs="黑体"/>
          <w:b w:val="0"/>
        </w:rPr>
      </w:pPr>
      <w:r>
        <w:rPr>
          <w:rFonts w:hint="eastAsia" w:ascii="黑体" w:hAnsi="黑体" w:eastAsia="黑体" w:cs="黑体"/>
          <w:b w:val="0"/>
        </w:rPr>
        <w:t>二、工作举措</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1.2024年，学校修订完成《采购管理办法》《部门自行采购实施细则》，不断完善内控制度、优化采购工作流程，主要体现在：一是松绑减负，提升采购工作效率。放宽学校组织采购限额标准，推进科研采购“放管服”，促进新质生产力发展，简化采购流程，提高采购工作效率；二是规范执行，落实上级采购政策。突出政府采购政策功能，优化完善采购方式，加强采购需求和采购实施计划管理，强化政府采购履约验收管理；三是健全管理，完善采购内控机制。增加采购领导小组成员，进一步明确各部门职责，落实采购工作责任，强化采购纪律与监督。</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根据各级部门出台的相关采购制度和规定，及时完善和改进我校自行采购招标标书模板、合同模板，提高采购效率、规范内容、回避负面清单，降低履约保证金比例，减轻供应商负担，常态化提醒供应商和用户适时办理履约保证金退还手续，严格执行小微企业、节能环保产品、专门面向中小企业项目等政策，认真及时参与回复采购质疑等事宜。</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3.进一步推进、优化和完善智慧采购系统建设。目前已完成一期智慧采购系统的建设和验收，基本实现了学校采购管理工作全流程电子化管理。</w:t>
      </w:r>
    </w:p>
    <w:p>
      <w:pPr>
        <w:pStyle w:val="7"/>
        <w:spacing w:line="560" w:lineRule="exact"/>
        <w:rPr>
          <w:rFonts w:hint="eastAsia" w:ascii="Times New Roman" w:hAnsi="Times New Roman"/>
          <w:sz w:val="28"/>
          <w:szCs w:val="28"/>
        </w:rPr>
      </w:pPr>
      <w:r>
        <w:rPr>
          <w:rFonts w:ascii="仿宋_GB2312" w:hAnsi="仿宋_GB2312" w:eastAsia="仿宋_GB2312" w:cs="仿宋_GB2312"/>
          <w:kern w:val="2"/>
          <w:sz w:val="32"/>
          <w:szCs w:val="32"/>
        </w:rPr>
        <w:t>4.打造“创新、开放、共享”的商大多元化资源共享模式，推动资源高效利用和可持续发展。本年度，“畅约”平台新增资源103项，资源总量达134项，平台访问量突破154万次，完成18次升级迭代，进一步优化用户体验。平台新增学生意见反馈和资源监督功能，积极营造“守公约、增实效”的良好氛围，确保资源使用公开透明、高效规范。同时，以盘活</w:t>
      </w:r>
      <w:r>
        <w:rPr>
          <w:rFonts w:hint="eastAsia" w:ascii="仿宋_GB2312" w:hAnsi="仿宋_GB2312" w:eastAsia="仿宋_GB2312" w:cs="仿宋_GB2312"/>
          <w:kern w:val="2"/>
          <w:sz w:val="32"/>
          <w:szCs w:val="32"/>
        </w:rPr>
        <w:t>低效</w:t>
      </w:r>
      <w:r>
        <w:rPr>
          <w:rFonts w:ascii="仿宋_GB2312" w:hAnsi="仿宋_GB2312" w:eastAsia="仿宋_GB2312" w:cs="仿宋_GB2312"/>
          <w:kern w:val="2"/>
          <w:sz w:val="32"/>
          <w:szCs w:val="32"/>
        </w:rPr>
        <w:t>资产、提升老旧资产利用率为目标，深入开展调研，统筹协调各方资源，制定科学合理的物资调配计划。本年度依托公物仓完成资产利旧调配总价值460余万元，其中通过教工路公物仓暑期专项工作，完成250余件资产利旧调配，为学校节约资金60万元以上，有效提升了资产使用效率，助力学校资源优化配置和节约型校园建设。</w:t>
      </w:r>
    </w:p>
    <w:p>
      <w:pPr>
        <w:spacing w:line="560" w:lineRule="exact"/>
        <w:rPr>
          <w:rFonts w:hint="eastAsia"/>
        </w:rPr>
      </w:pPr>
      <w:r>
        <w:rPr>
          <w:rFonts w:hint="eastAsia"/>
        </w:rPr>
        <w:br w:type="page"/>
      </w:r>
    </w:p>
    <w:p>
      <w:pPr>
        <w:pStyle w:val="2"/>
        <w:keepNext/>
        <w:keepLines/>
        <w:pageBreakBefore w:val="0"/>
        <w:widowControl w:val="0"/>
        <w:kinsoku/>
        <w:wordWrap/>
        <w:overflowPunct/>
        <w:topLinePunct w:val="0"/>
        <w:autoSpaceDE/>
        <w:autoSpaceDN/>
        <w:bidi w:val="0"/>
        <w:adjustRightInd/>
        <w:snapToGrid w:val="0"/>
        <w:spacing w:before="0" w:after="0" w:afterLines="0" w:line="560" w:lineRule="exact"/>
        <w:ind w:firstLine="0"/>
        <w:textAlignment w:val="auto"/>
        <w:rPr>
          <w:rFonts w:hint="eastAsia" w:ascii="方正小标宋简体" w:hAnsi="方正小标宋简体" w:eastAsia="方正小标宋简体" w:cs="方正小标宋简体"/>
          <w:b/>
          <w:bCs/>
        </w:rPr>
      </w:pPr>
      <w:r>
        <w:rPr>
          <w:rFonts w:hint="eastAsia" w:ascii="方正小标宋简体" w:hAnsi="方正小标宋简体" w:eastAsia="方正小标宋简体" w:cs="方正小标宋简体"/>
          <w:b/>
          <w:bCs/>
        </w:rPr>
        <w:t>2024年大型工程和小额维修改造工作</w:t>
      </w:r>
    </w:p>
    <w:p>
      <w:pPr>
        <w:pStyle w:val="2"/>
        <w:keepNext/>
        <w:keepLines/>
        <w:pageBreakBefore w:val="0"/>
        <w:widowControl w:val="0"/>
        <w:kinsoku/>
        <w:wordWrap/>
        <w:overflowPunct/>
        <w:topLinePunct w:val="0"/>
        <w:autoSpaceDE/>
        <w:autoSpaceDN/>
        <w:bidi w:val="0"/>
        <w:adjustRightInd/>
        <w:snapToGrid w:val="0"/>
        <w:spacing w:before="0" w:after="0" w:afterLines="0" w:line="560" w:lineRule="exact"/>
        <w:ind w:firstLine="0"/>
        <w:textAlignment w:val="auto"/>
        <w:rPr>
          <w:rFonts w:hint="eastAsia" w:ascii="方正小标宋简体" w:hAnsi="方正小标宋简体" w:eastAsia="方正小标宋简体" w:cs="方正小标宋简体"/>
          <w:b/>
          <w:bCs/>
        </w:rPr>
      </w:pPr>
      <w:r>
        <w:rPr>
          <w:rFonts w:hint="eastAsia" w:ascii="方正小标宋简体" w:hAnsi="方正小标宋简体" w:eastAsia="方正小标宋简体" w:cs="方正小标宋简体"/>
          <w:b/>
          <w:bCs/>
        </w:rPr>
        <w:t>公开报告</w:t>
      </w:r>
    </w:p>
    <w:p>
      <w:pPr>
        <w:spacing w:line="560" w:lineRule="exact"/>
        <w:ind w:firstLine="643" w:firstLineChars="200"/>
        <w:jc w:val="both"/>
        <w:rPr>
          <w:rFonts w:hint="eastAsia" w:ascii="仿宋_GB2312" w:hAnsi="仿宋_GB2312" w:eastAsia="仿宋_GB2312" w:cs="仿宋_GB2312"/>
          <w:b/>
          <w:sz w:val="32"/>
          <w:szCs w:val="32"/>
        </w:rPr>
      </w:pPr>
    </w:p>
    <w:p>
      <w:pPr>
        <w:spacing w:line="560" w:lineRule="exact"/>
        <w:ind w:firstLine="643" w:firstLineChars="200"/>
        <w:jc w:val="both"/>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一、基本情况</w:t>
      </w:r>
    </w:p>
    <w:p>
      <w:pPr>
        <w:spacing w:line="560" w:lineRule="exact"/>
        <w:ind w:firstLine="643" w:firstLineChars="200"/>
        <w:jc w:val="both"/>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（一）大型基本建设工程</w:t>
      </w:r>
    </w:p>
    <w:p>
      <w:pPr>
        <w:spacing w:line="560" w:lineRule="exact"/>
        <w:ind w:firstLine="643"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1.文体中心（亚运手球比赛场馆）改造提升项目恢复工程。</w:t>
      </w:r>
      <w:r>
        <w:rPr>
          <w:rFonts w:hint="eastAsia" w:ascii="仿宋_GB2312" w:hAnsi="仿宋_GB2312" w:eastAsia="仿宋_GB2312" w:cs="仿宋_GB2312"/>
          <w:sz w:val="32"/>
          <w:szCs w:val="32"/>
        </w:rPr>
        <w:t>根据建设计划，亚运场馆建设恢复工程于学校承办完亚运赛事任务后及时启动，实施内容为第二田径场（赛时作停车场使用）按二类场地标准进行恢复，除按标准配设各类体育设施，满足教学使用外，场地于西北角增设高杆灯，场地围网上增设夜间照明灯，以满足师生夜间活动需要。2024年4月22日，亚运场馆建设恢复工程正式竣工并投入使用；2024年9月，完成竣工结算，圆满完成项目各项内容。</w:t>
      </w:r>
    </w:p>
    <w:p>
      <w:pPr>
        <w:spacing w:line="560" w:lineRule="exact"/>
        <w:ind w:firstLine="570"/>
        <w:jc w:val="both"/>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2.科创大楼（产教融合基地）建设工程。</w:t>
      </w:r>
      <w:r>
        <w:rPr>
          <w:rFonts w:hint="eastAsia" w:ascii="仿宋_GB2312" w:hAnsi="仿宋_GB2312" w:eastAsia="仿宋_GB2312" w:cs="仿宋_GB2312"/>
          <w:color w:val="000000"/>
          <w:sz w:val="32"/>
          <w:szCs w:val="32"/>
        </w:rPr>
        <w:t>项目位于下沙校区教学区青春广场地块，</w:t>
      </w:r>
      <w:r>
        <w:rPr>
          <w:rFonts w:hint="eastAsia" w:ascii="仿宋_GB2312" w:hAnsi="仿宋_GB2312" w:eastAsia="仿宋_GB2312" w:cs="仿宋_GB2312"/>
          <w:sz w:val="32"/>
          <w:szCs w:val="32"/>
        </w:rPr>
        <w:t>总建筑面积234</w:t>
      </w:r>
      <w:r>
        <w:rPr>
          <w:rFonts w:hint="eastAsia" w:ascii="仿宋_GB2312" w:hAnsi="仿宋_GB2312" w:eastAsia="仿宋_GB2312" w:cs="仿宋_GB2312"/>
          <w:sz w:val="32"/>
          <w:szCs w:val="32"/>
          <w:lang w:val="en-US" w:eastAsia="zh-CN"/>
        </w:rPr>
        <w:t>44</w:t>
      </w:r>
      <w:r>
        <w:rPr>
          <w:rFonts w:hint="eastAsia" w:ascii="仿宋_GB2312" w:hAnsi="仿宋_GB2312" w:eastAsia="仿宋_GB2312" w:cs="仿宋_GB2312"/>
          <w:sz w:val="32"/>
          <w:szCs w:val="32"/>
        </w:rPr>
        <w:t>.9㎡，其中地下面积2944.9㎡，地上面积</w:t>
      </w:r>
      <w:r>
        <w:rPr>
          <w:rFonts w:hint="eastAsia" w:ascii="仿宋_GB2312" w:hAnsi="仿宋_GB2312" w:eastAsia="仿宋_GB2312" w:cs="仿宋_GB2312"/>
          <w:sz w:val="32"/>
          <w:szCs w:val="32"/>
          <w:lang w:val="en-US" w:eastAsia="zh-CN"/>
        </w:rPr>
        <w:t>20500</w:t>
      </w:r>
      <w:r>
        <w:rPr>
          <w:rFonts w:hint="eastAsia" w:ascii="仿宋_GB2312" w:hAnsi="仿宋_GB2312" w:eastAsia="仿宋_GB2312" w:cs="仿宋_GB2312"/>
          <w:sz w:val="32"/>
          <w:szCs w:val="32"/>
        </w:rPr>
        <w:t>㎡。地下部分主要功能为人防工程、设备用房及用于交通的电梯和地下通道等，地上部分主要功能包括产教融合中心、数字创新中心（中央实验室）、国际开放中心、公共共享空间、科技转化基地等。项目总投资概算16601.37万元（含设备购置费3039万元），其中，中央财政资金配套8000万元分别于2022年、2023年成功下达，省公建投资补助400万元于2023年下达。经争取，2024年项目获得地方政府一般债券资金1800万元。自2022年12月31日开工进入实体建设期以来，项目按既定施工进度安排有序推进，2024年项目完成主体结构验收，基本完成幕墙、安装、装修工程施工，并在年底组织实施校内初验。</w:t>
      </w:r>
    </w:p>
    <w:p>
      <w:pPr>
        <w:spacing w:line="560" w:lineRule="exact"/>
        <w:ind w:firstLine="570"/>
        <w:jc w:val="both"/>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3.研究生公寓建设工程。</w:t>
      </w:r>
      <w:r>
        <w:rPr>
          <w:rFonts w:hint="eastAsia" w:ascii="仿宋_GB2312" w:hAnsi="仿宋_GB2312" w:eastAsia="仿宋_GB2312" w:cs="仿宋_GB2312"/>
          <w:sz w:val="32"/>
          <w:szCs w:val="32"/>
        </w:rPr>
        <w:t>项目位于下沙校区钱江湾生活区内（东侧预留地块），总建筑面积55000平方米，其中地上建筑面积49495平方米、地下建筑面积5505平方米。主要包括学生宿舍29428平方米、生活用房及配套用房20067平方米、地下车库5505平方米。地上设置门厅、宿舍、洗衣房、公共活动空间、后勤及附属用房等。地下室设置地下车库、人防工程及配套设备用房等。项目总投资概算29881.41万元，所需建设资金由中央预算内投资、省财政资金、地方政府专项债券资金、学校专户资金和自有资金组成。经争取，2024年项目获地方政府专项债券资金7000万元。2024年，项目前期工作全面推进，完成初步设计审批、建筑节能审查、施工图审查、人防等级核定、工程规划许可证申领、地铁保护设计方案审查、道口开设审批等工作，实施施工、监理招标及施工许可证申领。2024年11月10日，项目正式开工建设，截至2024年12月，项目完成部分桩基工程施工。</w:t>
      </w:r>
    </w:p>
    <w:p>
      <w:pPr>
        <w:spacing w:line="560" w:lineRule="exact"/>
        <w:ind w:firstLine="570" w:firstLineChars="0"/>
        <w:jc w:val="both"/>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4.教工路校区基本建设项目。</w:t>
      </w:r>
      <w:r>
        <w:rPr>
          <w:rFonts w:hint="eastAsia" w:ascii="仿宋_GB2312" w:hAnsi="仿宋_GB2312" w:eastAsia="仿宋_GB2312" w:cs="仿宋_GB2312"/>
          <w:sz w:val="32"/>
          <w:szCs w:val="32"/>
        </w:rPr>
        <w:t>自2024年8月浙江工商大学《高水平大学建设“一校一策”方案》获省政府常务会议和省委常委会议审议通过以来，学校结合办学实际，加快实施基础设施提质工程，陆续启动教工路校区各项目建设，积极开展各项前期工作。2024年11月9日，学校会议审定通过教工路校区基本建设选址规划方案，为教工路校区基本项目整体的规划实施明确了方向。2024年11月27日，教工路校区学生宿舍建设工程、人工智能大楼（中外合作办学人工智能与数字化协同育人示范基地）、稻盛商学院大楼（“商学+”全链路教育教学科产教融合基地）申请列入2025年浙江省省级政府投资项目计划储备类项目。2024年12月16日，学校会议审定通过教工路校区整体规划布局调整论证方案，并按规定上报杭州市规划和自然资源局，启动报批程序。</w:t>
      </w:r>
    </w:p>
    <w:p>
      <w:pPr>
        <w:spacing w:line="560" w:lineRule="exact"/>
        <w:ind w:firstLine="570" w:firstLineChars="0"/>
        <w:jc w:val="both"/>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（二）维修改造工程</w:t>
      </w:r>
    </w:p>
    <w:p>
      <w:pPr>
        <w:spacing w:line="560" w:lineRule="exact"/>
        <w:ind w:firstLine="643" w:firstLineChars="200"/>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sz w:val="32"/>
          <w:szCs w:val="32"/>
          <w:lang w:val="en-US" w:eastAsia="zh-CN"/>
        </w:rPr>
        <w:t>总体情况：</w:t>
      </w:r>
      <w:r>
        <w:rPr>
          <w:rFonts w:hint="eastAsia" w:ascii="仿宋_GB2312" w:hAnsi="仿宋_GB2312" w:eastAsia="仿宋_GB2312" w:cs="仿宋_GB2312"/>
          <w:b w:val="0"/>
          <w:bCs/>
          <w:sz w:val="32"/>
          <w:szCs w:val="32"/>
          <w:lang w:val="en-US" w:eastAsia="zh-CN"/>
        </w:rPr>
        <w:t>2024年单项20万元以上招标工程项目21项，预算金额共计3918.19万元，签约合同金额3499.94万元。完成单项20万元以下小额维修改造项目1116项，预算金额共计854万元。零星材料入库43548件，约64.31万元；出库46662件，约70.79万元。</w:t>
      </w:r>
    </w:p>
    <w:p>
      <w:pPr>
        <w:spacing w:line="560" w:lineRule="exact"/>
        <w:ind w:firstLine="640" w:firstLineChars="200"/>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全年完成重点项目有：</w:t>
      </w:r>
    </w:p>
    <w:p>
      <w:pPr>
        <w:numPr>
          <w:ilvl w:val="0"/>
          <w:numId w:val="0"/>
        </w:numPr>
        <w:spacing w:line="560" w:lineRule="exact"/>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浙江工商大学下沙校区消防水系统维修改造项目。</w:t>
      </w:r>
      <w:r>
        <w:rPr>
          <w:rFonts w:hint="eastAsia" w:ascii="仿宋_GB2312" w:hAnsi="仿宋_GB2312" w:eastAsia="仿宋_GB2312" w:cs="仿宋_GB2312"/>
          <w:sz w:val="32"/>
          <w:szCs w:val="32"/>
        </w:rPr>
        <w:t>下沙校区教学区始建于2002年，其室外管道分标段建成，室外管网由镀锌管及HDPE管道（以下简称PE管）组成，其中PE管采用热熔对接方式，且标段不同PE管厚度不均，而镀锌管有不同程度腐蚀，每个月会有多次管道破裂渗漏。除外，教学区高位消防水稳压水箱18吨容量，约在2个多小时后全部渗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造成了大量的水资源浪费，且导致消火栓系统和喷淋系统常年无法稳压运行，存在较大安全隐患。因此于2024年4月启动实施浙江工商大学下沙校区消防水系统维修改造项目，对教学区室外消防水系统管网进行整体更换，</w:t>
      </w:r>
      <w:r>
        <w:rPr>
          <w:rFonts w:hint="eastAsia" w:ascii="仿宋_GB2312" w:hAnsi="仿宋_GB2312" w:eastAsia="仿宋_GB2312" w:cs="仿宋_GB2312"/>
          <w:sz w:val="32"/>
          <w:szCs w:val="32"/>
          <w:lang w:val="en-US" w:eastAsia="zh-CN"/>
        </w:rPr>
        <w:t>预算金额396万元，中标价</w:t>
      </w:r>
      <w:r>
        <w:rPr>
          <w:rFonts w:hint="eastAsia" w:ascii="仿宋_GB2312" w:hAnsi="仿宋_GB2312" w:eastAsia="仿宋_GB2312" w:cs="仿宋_GB2312"/>
          <w:sz w:val="32"/>
          <w:szCs w:val="32"/>
        </w:rPr>
        <w:t>320</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于</w:t>
      </w:r>
      <w:r>
        <w:rPr>
          <w:rFonts w:hint="eastAsia" w:ascii="仿宋_GB2312" w:hAnsi="仿宋_GB2312" w:eastAsia="仿宋_GB2312" w:cs="仿宋_GB2312"/>
          <w:sz w:val="32"/>
          <w:szCs w:val="32"/>
        </w:rPr>
        <w:t>2024年8月19日</w:t>
      </w:r>
      <w:r>
        <w:rPr>
          <w:rFonts w:hint="eastAsia" w:ascii="仿宋_GB2312" w:hAnsi="仿宋_GB2312" w:eastAsia="仿宋_GB2312" w:cs="仿宋_GB2312"/>
          <w:sz w:val="32"/>
          <w:szCs w:val="32"/>
          <w:lang w:val="en-US" w:eastAsia="zh-CN"/>
        </w:rPr>
        <w:t>顺利</w:t>
      </w:r>
      <w:r>
        <w:rPr>
          <w:rFonts w:hint="eastAsia" w:ascii="仿宋_GB2312" w:hAnsi="仿宋_GB2312" w:eastAsia="仿宋_GB2312" w:cs="仿宋_GB2312"/>
          <w:sz w:val="32"/>
          <w:szCs w:val="32"/>
        </w:rPr>
        <w:t>竣工验收。项目完成至今，未曾再次出现管道破裂渗透情况，且高位水箱保压良好，达到预期成效。</w:t>
      </w:r>
    </w:p>
    <w:p>
      <w:pPr>
        <w:spacing w:line="560" w:lineRule="exact"/>
        <w:ind w:firstLine="643"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2.浙江工商大学三号教学楼部分教室提升改造工程。</w:t>
      </w:r>
      <w:r>
        <w:rPr>
          <w:rFonts w:hint="eastAsia" w:ascii="仿宋_GB2312" w:hAnsi="仿宋_GB2312" w:eastAsia="仿宋_GB2312" w:cs="仿宋_GB2312"/>
          <w:sz w:val="32"/>
          <w:szCs w:val="32"/>
        </w:rPr>
        <w:t>为满足</w:t>
      </w:r>
      <w:r>
        <w:rPr>
          <w:rFonts w:hint="eastAsia" w:ascii="仿宋_GB2312" w:hAnsi="仿宋_GB2312" w:eastAsia="仿宋_GB2312" w:cs="仿宋_GB2312"/>
          <w:sz w:val="32"/>
          <w:szCs w:val="32"/>
          <w:lang w:val="en-US" w:eastAsia="zh-CN"/>
        </w:rPr>
        <w:t>教工路校区</w:t>
      </w:r>
      <w:r>
        <w:rPr>
          <w:rFonts w:hint="eastAsia" w:ascii="仿宋_GB2312" w:hAnsi="仿宋_GB2312" w:eastAsia="仿宋_GB2312" w:cs="仿宋_GB2312"/>
          <w:sz w:val="32"/>
          <w:szCs w:val="32"/>
        </w:rPr>
        <w:t>师生日常教学、学习需求，对教工路校区三号教学楼部分教室进行提升改造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主要</w:t>
      </w:r>
      <w:r>
        <w:rPr>
          <w:rFonts w:hint="eastAsia" w:ascii="仿宋_GB2312" w:hAnsi="仿宋_GB2312" w:eastAsia="仿宋_GB2312" w:cs="仿宋_GB2312"/>
          <w:sz w:val="32"/>
          <w:szCs w:val="32"/>
          <w:lang w:eastAsia="zh-CN"/>
        </w:rPr>
        <w:t>包括墙面顶面粉刷、吊顶改造、卫生间整体改造、强弱电改造等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该项目</w:t>
      </w:r>
      <w:r>
        <w:rPr>
          <w:rFonts w:hint="eastAsia" w:ascii="仿宋_GB2312" w:hAnsi="仿宋_GB2312" w:eastAsia="仿宋_GB2312" w:cs="仿宋_GB2312"/>
          <w:sz w:val="32"/>
          <w:szCs w:val="32"/>
        </w:rPr>
        <w:t>预算</w:t>
      </w:r>
      <w:r>
        <w:rPr>
          <w:rFonts w:hint="eastAsia" w:ascii="仿宋_GB2312" w:hAnsi="仿宋_GB2312" w:eastAsia="仿宋_GB2312" w:cs="仿宋_GB2312"/>
          <w:sz w:val="32"/>
          <w:szCs w:val="32"/>
          <w:lang w:eastAsia="zh-CN"/>
        </w:rPr>
        <w:t>金额</w:t>
      </w:r>
      <w:r>
        <w:rPr>
          <w:rFonts w:hint="eastAsia" w:ascii="仿宋_GB2312" w:hAnsi="仿宋_GB2312" w:eastAsia="仿宋_GB2312" w:cs="仿宋_GB2312"/>
          <w:sz w:val="32"/>
          <w:szCs w:val="32"/>
          <w:lang w:val="en-US" w:eastAsia="zh-CN"/>
        </w:rPr>
        <w:t>167</w:t>
      </w:r>
      <w:r>
        <w:rPr>
          <w:rFonts w:hint="eastAsia" w:ascii="仿宋_GB2312" w:hAnsi="仿宋_GB2312" w:eastAsia="仿宋_GB2312" w:cs="仿宋_GB2312"/>
          <w:sz w:val="32"/>
          <w:szCs w:val="32"/>
        </w:rPr>
        <w:t>万</w:t>
      </w:r>
      <w:r>
        <w:rPr>
          <w:rFonts w:hint="eastAsia" w:ascii="仿宋_GB2312" w:hAnsi="仿宋_GB2312" w:eastAsia="仿宋_GB2312" w:cs="仿宋_GB2312"/>
          <w:sz w:val="32"/>
          <w:szCs w:val="32"/>
          <w:lang w:eastAsia="zh-CN"/>
        </w:rPr>
        <w:t>元，</w:t>
      </w:r>
      <w:r>
        <w:rPr>
          <w:rFonts w:hint="eastAsia" w:ascii="仿宋_GB2312" w:hAnsi="仿宋_GB2312" w:eastAsia="仿宋_GB2312" w:cs="仿宋_GB2312"/>
          <w:sz w:val="32"/>
          <w:szCs w:val="32"/>
        </w:rPr>
        <w:t>中标价为</w:t>
      </w:r>
      <w:r>
        <w:rPr>
          <w:rFonts w:hint="eastAsia" w:ascii="仿宋_GB2312" w:hAnsi="仿宋_GB2312" w:eastAsia="仿宋_GB2312" w:cs="仿宋_GB2312"/>
          <w:sz w:val="32"/>
          <w:szCs w:val="32"/>
          <w:lang w:val="en-US" w:eastAsia="zh-CN"/>
        </w:rPr>
        <w:t>142.5</w:t>
      </w:r>
      <w:r>
        <w:rPr>
          <w:rFonts w:hint="eastAsia" w:ascii="仿宋_GB2312" w:hAnsi="仿宋_GB2312" w:eastAsia="仿宋_GB2312" w:cs="仿宋_GB2312"/>
          <w:sz w:val="32"/>
          <w:szCs w:val="32"/>
        </w:rPr>
        <w:t>万</w:t>
      </w:r>
      <w:r>
        <w:rPr>
          <w:rFonts w:hint="eastAsia" w:ascii="仿宋_GB2312" w:hAnsi="仿宋_GB2312" w:eastAsia="仿宋_GB2312" w:cs="仿宋_GB2312"/>
          <w:sz w:val="32"/>
          <w:szCs w:val="32"/>
          <w:lang w:eastAsia="zh-CN"/>
        </w:rPr>
        <w:t>元，</w:t>
      </w:r>
      <w:r>
        <w:rPr>
          <w:rFonts w:hint="eastAsia" w:ascii="仿宋_GB2312" w:hAnsi="仿宋_GB2312" w:eastAsia="仿宋_GB2312" w:cs="仿宋_GB2312"/>
          <w:sz w:val="32"/>
          <w:szCs w:val="32"/>
          <w:lang w:val="en-US" w:eastAsia="zh-CN"/>
        </w:rPr>
        <w:t>已于2024年8月顺利竣工验收</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现已投入使用，</w:t>
      </w:r>
      <w:r>
        <w:rPr>
          <w:rFonts w:hint="eastAsia" w:ascii="仿宋_GB2312" w:hAnsi="仿宋_GB2312" w:eastAsia="仿宋_GB2312" w:cs="仿宋_GB2312"/>
          <w:sz w:val="32"/>
          <w:szCs w:val="32"/>
        </w:rPr>
        <w:t>给予</w:t>
      </w:r>
      <w:r>
        <w:rPr>
          <w:rFonts w:hint="eastAsia" w:ascii="仿宋_GB2312" w:hAnsi="仿宋_GB2312" w:eastAsia="仿宋_GB2312" w:cs="仿宋_GB2312"/>
          <w:sz w:val="32"/>
          <w:szCs w:val="32"/>
          <w:lang w:val="en-US" w:eastAsia="zh-CN"/>
        </w:rPr>
        <w:t>师生舒适温馨</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val="en-US" w:eastAsia="zh-CN"/>
        </w:rPr>
        <w:t>教学、</w:t>
      </w:r>
      <w:r>
        <w:rPr>
          <w:rFonts w:hint="eastAsia" w:ascii="仿宋_GB2312" w:hAnsi="仿宋_GB2312" w:eastAsia="仿宋_GB2312" w:cs="仿宋_GB2312"/>
          <w:sz w:val="32"/>
          <w:szCs w:val="32"/>
        </w:rPr>
        <w:t>学习环境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获得广泛好评</w:t>
      </w:r>
      <w:r>
        <w:rPr>
          <w:rFonts w:hint="eastAsia" w:ascii="仿宋_GB2312" w:hAnsi="仿宋_GB2312" w:eastAsia="仿宋_GB2312" w:cs="仿宋_GB2312"/>
          <w:sz w:val="32"/>
          <w:szCs w:val="32"/>
        </w:rPr>
        <w:t>。</w:t>
      </w:r>
    </w:p>
    <w:p>
      <w:pPr>
        <w:spacing w:line="560" w:lineRule="exact"/>
        <w:ind w:firstLine="643" w:firstLineChars="200"/>
        <w:jc w:val="both"/>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rPr>
        <w:t>3.浙江工商大学学生公寓提升改造工程</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val="0"/>
          <w:bCs w:val="0"/>
          <w:sz w:val="32"/>
          <w:szCs w:val="32"/>
          <w:lang w:val="en-US" w:eastAsia="zh-CN"/>
        </w:rPr>
        <w:t>为助力两校区高水平协同驱动发展，教工路校区入住学生规模陡增，原学生公寓已无法满足学生入住要求，为解决床位不足问题，对教工路校区15、16幢学生公寓进行提升改造，主要包括室内墙面顶棚粉刷、强弱电改造、卫生间整体改造、屋面整体修漏等。该项目预算金额359万元，中标价为308万元，已于2024年8月顺利竣工验收。目前学生已于2024年9月顺利入住新寝室，获得广泛好评。</w:t>
      </w:r>
    </w:p>
    <w:p>
      <w:pPr>
        <w:spacing w:line="560" w:lineRule="exact"/>
        <w:ind w:firstLine="643" w:firstLineChars="200"/>
        <w:jc w:val="both"/>
        <w:rPr>
          <w:rFonts w:hint="default" w:ascii="仿宋_GB2312" w:hAnsi="仿宋_GB2312" w:eastAsia="仿宋_GB2312" w:cs="仿宋_GB2312"/>
          <w:sz w:val="32"/>
          <w:szCs w:val="32"/>
          <w:lang w:val="en-US" w:eastAsia="zh-CN"/>
        </w:rPr>
      </w:pPr>
      <w:r>
        <w:rPr>
          <w:rFonts w:ascii="仿宋_GB2312" w:hAnsi="仿宋_GB2312" w:eastAsia="仿宋_GB2312" w:cs="仿宋_GB2312"/>
          <w:b/>
          <w:bCs/>
          <w:sz w:val="32"/>
          <w:szCs w:val="32"/>
        </w:rPr>
        <w:t>4</w:t>
      </w:r>
      <w:r>
        <w:rPr>
          <w:rFonts w:hint="eastAsia" w:ascii="仿宋_GB2312" w:hAnsi="仿宋_GB2312" w:eastAsia="仿宋_GB2312" w:cs="仿宋_GB2312"/>
          <w:b/>
          <w:bCs/>
          <w:sz w:val="32"/>
          <w:szCs w:val="32"/>
        </w:rPr>
        <w:t>.浙江工商大学202</w:t>
      </w: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rPr>
        <w:t>年度毕业生寝室维修</w:t>
      </w:r>
      <w:r>
        <w:rPr>
          <w:rFonts w:hint="eastAsia" w:ascii="仿宋_GB2312" w:hAnsi="仿宋_GB2312" w:eastAsia="仿宋_GB2312" w:cs="仿宋_GB2312"/>
          <w:b/>
          <w:bCs/>
          <w:sz w:val="32"/>
          <w:szCs w:val="32"/>
          <w:lang w:val="en-US" w:eastAsia="zh-CN"/>
        </w:rPr>
        <w:t>工程</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为了改善宿舍环境，提升新生入住体验感，于202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年暑期对</w:t>
      </w:r>
      <w:r>
        <w:rPr>
          <w:rFonts w:hint="eastAsia" w:ascii="仿宋_GB2312" w:hAnsi="仿宋_GB2312" w:eastAsia="仿宋_GB2312" w:cs="仿宋_GB2312"/>
          <w:sz w:val="32"/>
          <w:szCs w:val="32"/>
          <w:lang w:val="en-US" w:eastAsia="zh-CN"/>
        </w:rPr>
        <w:t>下沙校区生活区</w:t>
      </w:r>
      <w:r>
        <w:rPr>
          <w:rFonts w:hint="eastAsia" w:ascii="仿宋_GB2312" w:hAnsi="仿宋_GB2312" w:eastAsia="仿宋_GB2312" w:cs="仿宋_GB2312"/>
          <w:sz w:val="32"/>
          <w:szCs w:val="32"/>
        </w:rPr>
        <w:t>共2000余间毕业生寝室进行了整体维修。主要包括寝室墙面粉刷、</w:t>
      </w:r>
      <w:r>
        <w:rPr>
          <w:rFonts w:hint="eastAsia" w:ascii="仿宋_GB2312" w:hAnsi="仿宋_GB2312" w:eastAsia="仿宋_GB2312" w:cs="仿宋_GB2312"/>
          <w:sz w:val="32"/>
          <w:szCs w:val="32"/>
          <w:lang w:val="en-US" w:eastAsia="zh-CN"/>
        </w:rPr>
        <w:t>厕所</w:t>
      </w:r>
      <w:r>
        <w:rPr>
          <w:rFonts w:hint="eastAsia" w:ascii="仿宋_GB2312" w:hAnsi="仿宋_GB2312" w:eastAsia="仿宋_GB2312" w:cs="仿宋_GB2312"/>
          <w:sz w:val="32"/>
          <w:szCs w:val="32"/>
        </w:rPr>
        <w:t>门更换、</w:t>
      </w:r>
      <w:r>
        <w:rPr>
          <w:rFonts w:hint="eastAsia" w:ascii="仿宋_GB2312" w:hAnsi="仿宋_GB2312" w:eastAsia="仿宋_GB2312" w:cs="仿宋_GB2312"/>
          <w:sz w:val="32"/>
          <w:szCs w:val="32"/>
          <w:lang w:val="en-US" w:eastAsia="zh-CN"/>
        </w:rPr>
        <w:t>厕所修漏</w:t>
      </w:r>
      <w:r>
        <w:rPr>
          <w:rFonts w:hint="eastAsia" w:ascii="仿宋_GB2312" w:hAnsi="仿宋_GB2312" w:eastAsia="仿宋_GB2312" w:cs="仿宋_GB2312"/>
          <w:sz w:val="32"/>
          <w:szCs w:val="32"/>
        </w:rPr>
        <w:t>、阳台纱门维修更换、阳台栏杆维修等。</w:t>
      </w:r>
      <w:r>
        <w:rPr>
          <w:rFonts w:hint="eastAsia" w:ascii="仿宋_GB2312" w:hAnsi="仿宋_GB2312" w:eastAsia="仿宋_GB2312" w:cs="仿宋_GB2312"/>
          <w:sz w:val="32"/>
          <w:szCs w:val="32"/>
          <w:lang w:val="en-US" w:eastAsia="zh-CN"/>
        </w:rPr>
        <w:t>钱江湾生活区</w:t>
      </w:r>
      <w:r>
        <w:rPr>
          <w:rFonts w:hint="eastAsia" w:ascii="仿宋_GB2312" w:hAnsi="仿宋_GB2312" w:eastAsia="仿宋_GB2312" w:cs="仿宋_GB2312"/>
          <w:sz w:val="32"/>
          <w:szCs w:val="32"/>
        </w:rPr>
        <w:t>预算金额</w:t>
      </w:r>
      <w:r>
        <w:rPr>
          <w:rFonts w:hint="eastAsia" w:ascii="仿宋_GB2312" w:hAnsi="仿宋_GB2312" w:eastAsia="仿宋_GB2312" w:cs="仿宋_GB2312"/>
          <w:sz w:val="32"/>
          <w:szCs w:val="32"/>
          <w:lang w:val="en-US" w:eastAsia="zh-CN"/>
        </w:rPr>
        <w:t>195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中标价160万元，金沙港玉屏洲生活区预算金额116万元、中标价91万元，</w:t>
      </w:r>
      <w:r>
        <w:rPr>
          <w:rFonts w:hint="eastAsia" w:ascii="仿宋_GB2312" w:hAnsi="仿宋_GB2312" w:eastAsia="仿宋_GB2312" w:cs="仿宋_GB2312"/>
          <w:sz w:val="32"/>
          <w:szCs w:val="32"/>
        </w:rPr>
        <w:t>均在</w:t>
      </w:r>
      <w:r>
        <w:rPr>
          <w:rFonts w:hint="eastAsia" w:ascii="仿宋_GB2312" w:hAnsi="仿宋_GB2312" w:eastAsia="仿宋_GB2312" w:cs="仿宋_GB2312"/>
          <w:sz w:val="32"/>
          <w:szCs w:val="32"/>
          <w:lang w:val="en-US" w:eastAsia="zh-CN"/>
        </w:rPr>
        <w:t>2024年8月</w:t>
      </w:r>
      <w:r>
        <w:rPr>
          <w:rFonts w:hint="eastAsia" w:ascii="仿宋_GB2312" w:hAnsi="仿宋_GB2312" w:eastAsia="仿宋_GB2312" w:cs="仿宋_GB2312"/>
          <w:sz w:val="32"/>
          <w:szCs w:val="32"/>
        </w:rPr>
        <w:t>顺利完工并验收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2024年我部门加大创新力度，引进新型施工工艺，由墙面粉刷改为装配式无机预涂板上墙，用铁锈转换剂替代人工打磨，美观无味，降低成本，获得学生一致好评。</w:t>
      </w:r>
    </w:p>
    <w:p>
      <w:pPr>
        <w:spacing w:line="560" w:lineRule="exact"/>
        <w:ind w:firstLine="643" w:firstLineChars="200"/>
        <w:jc w:val="both"/>
        <w:rPr>
          <w:rFonts w:hint="eastAsia" w:ascii="仿宋_GB2312" w:hAnsi="仿宋_GB2312" w:eastAsia="仿宋_GB2312" w:cs="仿宋_GB2312"/>
          <w:sz w:val="32"/>
          <w:szCs w:val="32"/>
          <w:lang w:val="en-US" w:eastAsia="zh-CN"/>
        </w:rPr>
      </w:pPr>
      <w:r>
        <w:rPr>
          <w:rFonts w:ascii="仿宋_GB2312" w:hAnsi="仿宋_GB2312" w:eastAsia="仿宋_GB2312" w:cs="仿宋_GB2312"/>
          <w:b/>
          <w:bCs/>
          <w:sz w:val="32"/>
          <w:szCs w:val="32"/>
        </w:rPr>
        <w:t>5</w:t>
      </w:r>
      <w:r>
        <w:rPr>
          <w:rFonts w:hint="eastAsia" w:ascii="仿宋_GB2312" w:hAnsi="仿宋_GB2312" w:eastAsia="仿宋_GB2312" w:cs="仿宋_GB2312"/>
          <w:b/>
          <w:bCs/>
          <w:sz w:val="32"/>
          <w:szCs w:val="32"/>
        </w:rPr>
        <w:t>.浙江工商大学金沙港玉屏洲供配电系统提升改造项目</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val="0"/>
          <w:bCs w:val="0"/>
          <w:sz w:val="32"/>
          <w:szCs w:val="32"/>
          <w:lang w:val="en-US" w:eastAsia="zh-CN"/>
        </w:rPr>
        <w:t>为保障金沙港、玉屏洲生活区供配电系统良好运转，对该系统进行提升改造。</w:t>
      </w:r>
      <w:r>
        <w:rPr>
          <w:rFonts w:hint="eastAsia" w:ascii="仿宋_GB2312" w:hAnsi="仿宋_GB2312" w:eastAsia="仿宋_GB2312" w:cs="仿宋_GB2312"/>
          <w:sz w:val="32"/>
          <w:szCs w:val="32"/>
          <w:lang w:val="en-US" w:eastAsia="zh-CN"/>
        </w:rPr>
        <w:t>该项目预算金额132.66万元，中标价为118.8万元，已于2024年12月顺利竣工验收，目前系统使用安全良好。</w:t>
      </w:r>
    </w:p>
    <w:p>
      <w:pPr>
        <w:spacing w:line="560" w:lineRule="exact"/>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6.下沙校区“快乐校园”改造工程。</w:t>
      </w:r>
      <w:r>
        <w:rPr>
          <w:rFonts w:hint="eastAsia" w:ascii="仿宋_GB2312" w:hAnsi="仿宋_GB2312" w:eastAsia="仿宋_GB2312" w:cs="仿宋_GB2312"/>
          <w:b w:val="0"/>
          <w:bCs w:val="0"/>
          <w:sz w:val="32"/>
          <w:szCs w:val="32"/>
          <w:lang w:val="en-US" w:eastAsia="zh-CN"/>
        </w:rPr>
        <w:t>2024年3月我部门对蒹葭渚、商大花海等场地进行了电力设施改造，打造成“快乐校园”空间，为全校师生提供活泼温馨的活动空间，助力了十佳歌手复赛、萨塞克斯学院秋日露营迎新生等活动的成功举办。</w:t>
      </w:r>
    </w:p>
    <w:p>
      <w:pPr>
        <w:spacing w:line="560" w:lineRule="exact"/>
        <w:ind w:firstLine="643"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7.两校区运动场地改造工程。</w:t>
      </w:r>
      <w:r>
        <w:rPr>
          <w:rFonts w:hint="eastAsia" w:ascii="仿宋_GB2312" w:hAnsi="仿宋_GB2312" w:eastAsia="仿宋_GB2312" w:cs="仿宋_GB2312"/>
          <w:b w:val="0"/>
          <w:bCs w:val="0"/>
          <w:sz w:val="32"/>
          <w:szCs w:val="32"/>
          <w:lang w:val="en-US" w:eastAsia="zh-CN"/>
        </w:rPr>
        <w:t>两校区篮球场、排球场等室内外运动场地均存在地面破损、围栏老旧等情况，存在安全隐患。2024年逐步对下沙校区北运动场、教工路校区篮球场进行了翻新改造，极大提升了师生运动舒适度。</w:t>
      </w:r>
    </w:p>
    <w:p>
      <w:pPr>
        <w:spacing w:line="560" w:lineRule="exact"/>
        <w:ind w:firstLine="643" w:firstLineChars="200"/>
        <w:jc w:val="both"/>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二、工作举措</w:t>
      </w:r>
    </w:p>
    <w:p>
      <w:pPr>
        <w:spacing w:line="560" w:lineRule="exact"/>
        <w:ind w:firstLine="643" w:firstLineChars="200"/>
        <w:jc w:val="both"/>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（一）基本建设工作举措</w:t>
      </w:r>
    </w:p>
    <w:p>
      <w:pPr>
        <w:spacing w:line="560" w:lineRule="exact"/>
        <w:ind w:firstLine="570"/>
        <w:jc w:val="both"/>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1.高站位，基本建设工作紧紧围绕学校事业发展。</w:t>
      </w:r>
      <w:r>
        <w:rPr>
          <w:rFonts w:hint="eastAsia" w:ascii="仿宋_GB2312" w:hAnsi="仿宋_GB2312" w:eastAsia="仿宋_GB2312" w:cs="仿宋_GB2312"/>
          <w:sz w:val="32"/>
          <w:szCs w:val="32"/>
        </w:rPr>
        <w:t>根据学校“十四五”发展总体规划与校园建设专项规划，谋划并推进各基本建设项目实施。通过亚运场馆恢复工程建设，场馆周边各类设施得到改造、提升，进一步提高了学校办学条件，师生满意度也得以进一步增强。通过科创大楼建设，有效解决学校实验实训用房不足短板，为学校高水平大学建设提供更为扎实的硬件条件。通过研究生公寓建设，有效缓解学校目前存在的学生床位数不匹配实际招生学生数矛盾，使学校下沙校区各类校舍配建基本平衡，为学校总体规划中在校研究生人数达到9000人目标实现提供基础。通过实施教工路校区基础设施提质改造工程，实现学校双校区高水平协同驱动发展战略目标。</w:t>
      </w:r>
    </w:p>
    <w:p>
      <w:pPr>
        <w:spacing w:line="560" w:lineRule="exact"/>
        <w:ind w:firstLine="643" w:firstLineChars="200"/>
        <w:jc w:val="both"/>
        <w:rPr>
          <w:rFonts w:hint="eastAsia" w:ascii="仿宋_GB2312" w:hAnsi="仿宋_GB2312" w:eastAsia="仿宋_GB2312" w:cs="仿宋_GB2312"/>
          <w:color w:val="0000FF"/>
          <w:sz w:val="32"/>
          <w:szCs w:val="32"/>
        </w:rPr>
      </w:pPr>
      <w:r>
        <w:rPr>
          <w:rFonts w:hint="eastAsia" w:ascii="仿宋_GB2312" w:hAnsi="仿宋_GB2312" w:eastAsia="仿宋_GB2312" w:cs="仿宋_GB2312"/>
          <w:b/>
          <w:sz w:val="32"/>
          <w:szCs w:val="32"/>
        </w:rPr>
        <w:t>2.强推进，基本建设项目实施按计划进度实现。</w:t>
      </w:r>
      <w:r>
        <w:rPr>
          <w:rFonts w:hint="eastAsia" w:ascii="仿宋_GB2312" w:hAnsi="仿宋_GB2312" w:eastAsia="仿宋_GB2312" w:cs="仿宋_GB2312"/>
          <w:sz w:val="32"/>
          <w:szCs w:val="32"/>
        </w:rPr>
        <w:t>2024年，无论是科创大楼、研究生公寓在建工程，还是教工路校区的基建项目，实施推进呈现出时间紧、任务重的特点，通过统筹谋划，既定目标最终均得以实现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2024年，学校克服施工组织困难，督促施工单位加大投入，多次优化施工进度计划，于5月底执行完成全部8000万中央预算内资金，12月完成1800万地方政府一般债券资金、400万省公共建设资金的执行要求。截止12月底，项目已累计完成投资10399万元，顺利完成上级下达的年度建设任务。研究生公寓项目为省急迫优先项目，但项目建设的基础条件相对薄弱，尤其是受到预留地块施工场地的限制，临时占用绿地需向区行政审批局提出申请，施工道口开设更是需征得属地街道、交警、派出所、市政、综合执法等多个部门审批，此外，用电容量也需向电力部门申请增容解决。针对项目先天条件不足情况，通过部门统筹谋划，逐一推进解决，最终于2024年10月底前完成所有前期工作和施工准备，顺利实现开工建设。教工路校区基建项目陆续启动，建设地块的控制性规划调整是项目报批的重要前置性工作，因涉及容积率、绿地率、建筑限高、建筑密度等关键指标，审批周期长、难度大，经与属地街道、交警、规资等多个部门多次沟通协调，2024年底顺利形成控规调整方案，并向规资部门申请报批。期间，同步开展概念性方案与可行性研究报告编制，为缩短项目前期报批时间，尽早实现项目开工建设提供了有力条件。</w:t>
      </w:r>
    </w:p>
    <w:p>
      <w:pPr>
        <w:spacing w:line="560" w:lineRule="exact"/>
        <w:ind w:firstLine="570"/>
        <w:jc w:val="both"/>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3.重规范，各基本建设项目有序推进实施。</w:t>
      </w:r>
      <w:r>
        <w:rPr>
          <w:rFonts w:hint="eastAsia" w:ascii="仿宋_GB2312" w:hAnsi="仿宋_GB2312" w:eastAsia="仿宋_GB2312" w:cs="仿宋_GB2312"/>
          <w:sz w:val="32"/>
          <w:szCs w:val="32"/>
        </w:rPr>
        <w:t>基本建设项目推进实施上级有明确规定，各环节工作实施自成规律，实体建设过程中的投资、进度、质量及安全文明施工各方面均需进行系统把控。部门严格按照学校基本建设管理办法、基本建设资金管理办法、全过程审计办法等校内规章制度推进各基本建设项目实施。需要集体决策的重要事项，根据重要程度，分别提交部门工程建设会议、基础设施提质工程专题协调会、学校基建工作领导小组会议、学校校长办公会议与学校党委会议审定后实施，年度内共召开工程建设会议15次、基础设施提质工程专题协调会1次、基建工作领导小组会议7次，审议审定基本建设各事项</w:t>
      </w:r>
      <w:r>
        <w:rPr>
          <w:rFonts w:hint="eastAsia" w:ascii="仿宋_GB2312" w:hAnsi="仿宋_GB2312" w:eastAsia="仿宋_GB2312" w:cs="仿宋_GB2312"/>
          <w:color w:val="auto"/>
          <w:sz w:val="32"/>
          <w:szCs w:val="32"/>
        </w:rPr>
        <w:t>。</w:t>
      </w:r>
    </w:p>
    <w:p>
      <w:pPr>
        <w:spacing w:line="560" w:lineRule="exact"/>
        <w:ind w:firstLine="570"/>
        <w:jc w:val="both"/>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（二）维修改造工作举措</w:t>
      </w:r>
    </w:p>
    <w:p>
      <w:pPr>
        <w:pStyle w:val="17"/>
        <w:spacing w:line="560" w:lineRule="exact"/>
        <w:jc w:val="both"/>
        <w:rPr>
          <w:rFonts w:hint="default" w:ascii="仿宋_GB2312" w:hAnsi="仿宋_GB2312" w:eastAsia="仿宋_GB2312" w:cs="仿宋_GB2312"/>
          <w:b w:val="0"/>
          <w:bCs/>
          <w:lang w:val="en-US" w:eastAsia="zh-CN"/>
        </w:rPr>
      </w:pPr>
      <w:r>
        <w:rPr>
          <w:rFonts w:hint="eastAsia" w:ascii="仿宋_GB2312" w:hAnsi="仿宋_GB2312" w:eastAsia="仿宋_GB2312" w:cs="仿宋_GB2312"/>
          <w:lang w:val="en-US" w:eastAsia="zh-CN"/>
        </w:rPr>
        <w:t>1.谋定而动，成功申报“一校一策”项目</w:t>
      </w:r>
      <w:r>
        <w:rPr>
          <w:rFonts w:hint="eastAsia" w:ascii="仿宋_GB2312" w:hAnsi="仿宋_GB2312" w:eastAsia="仿宋_GB2312" w:cs="仿宋_GB2312"/>
          <w:lang w:eastAsia="zh-CN"/>
        </w:rPr>
        <w:t>。</w:t>
      </w:r>
      <w:r>
        <w:rPr>
          <w:rFonts w:hint="eastAsia" w:ascii="仿宋_GB2312" w:hAnsi="仿宋_GB2312" w:eastAsia="仿宋_GB2312" w:cs="仿宋_GB2312"/>
          <w:b w:val="0"/>
          <w:bCs/>
          <w:lang w:val="en-US" w:eastAsia="zh-CN"/>
        </w:rPr>
        <w:t>年初</w:t>
      </w:r>
      <w:r>
        <w:rPr>
          <w:rFonts w:hint="eastAsia" w:ascii="仿宋_GB2312" w:hAnsi="仿宋_GB2312" w:eastAsia="仿宋_GB2312" w:cs="仿宋_GB2312"/>
          <w:b w:val="0"/>
          <w:bCs/>
          <w:lang w:eastAsia="zh-CN"/>
        </w:rPr>
        <w:t>建立学校维修改造项目库，共统计汇总项目64项，总金额87607万元，按照安全等级、轻重缓急程度排序，做到“心中有数”，稳步开展维修改造工作。</w:t>
      </w:r>
      <w:r>
        <w:rPr>
          <w:rFonts w:hint="eastAsia" w:ascii="仿宋_GB2312" w:hAnsi="仿宋_GB2312" w:eastAsia="仿宋_GB2312" w:cs="仿宋_GB2312"/>
          <w:b w:val="0"/>
          <w:bCs/>
          <w:lang w:val="en-US" w:eastAsia="zh-CN"/>
        </w:rPr>
        <w:t>并成功申报2024、2025年度“一校一策”项目5个，获得2024年度财政补贴987万元，2025年度财政补贴1019万元。</w:t>
      </w:r>
    </w:p>
    <w:p>
      <w:pPr>
        <w:pStyle w:val="17"/>
        <w:spacing w:line="560" w:lineRule="exact"/>
        <w:jc w:val="both"/>
        <w:rPr>
          <w:rFonts w:hint="eastAsia" w:ascii="仿宋_GB2312" w:hAnsi="仿宋_GB2312" w:eastAsia="仿宋_GB2312" w:cs="仿宋_GB2312"/>
          <w:sz w:val="32"/>
          <w:szCs w:val="32"/>
        </w:rPr>
      </w:pPr>
      <w:r>
        <w:rPr>
          <w:rFonts w:hint="eastAsia" w:ascii="仿宋_GB2312" w:hAnsi="仿宋_GB2312" w:eastAsia="仿宋_GB2312" w:cs="仿宋_GB2312"/>
          <w:b/>
          <w:bCs w:val="0"/>
          <w:lang w:val="en-US" w:eastAsia="zh-CN"/>
        </w:rPr>
        <w:t>2.创新突破，引进新型施工工艺。</w:t>
      </w:r>
      <w:r>
        <w:rPr>
          <w:rFonts w:hint="eastAsia" w:ascii="仿宋_GB2312" w:hAnsi="仿宋_GB2312" w:eastAsia="仿宋_GB2312" w:cs="仿宋_GB2312"/>
          <w:b w:val="0"/>
          <w:bCs/>
          <w:lang w:val="en-US" w:eastAsia="zh-CN"/>
        </w:rPr>
        <w:t>在下沙校区毕业生寝室维修工程中，由粉刷墙面改为装配式无机预涂板上墙、用铁锈转换剂替代人工打磨栏杆铁锈等，工艺美观、无味、便于实施，大大降低成本，获得学生好评，将广泛运用于未来项目中。</w:t>
      </w:r>
    </w:p>
    <w:p>
      <w:pPr>
        <w:pStyle w:val="17"/>
        <w:spacing w:line="560" w:lineRule="exact"/>
        <w:jc w:val="both"/>
        <w:rPr>
          <w:rFonts w:hint="eastAsia" w:ascii="仿宋_GB2312" w:hAnsi="仿宋_GB2312" w:eastAsia="仿宋_GB2312" w:cs="仿宋_GB2312"/>
          <w:b w:val="0"/>
        </w:rPr>
      </w:pPr>
      <w:r>
        <w:rPr>
          <w:rFonts w:hint="eastAsia" w:ascii="仿宋_GB2312" w:hAnsi="仿宋_GB2312" w:eastAsia="仿宋_GB2312" w:cs="仿宋_GB2312"/>
          <w:lang w:val="en-US" w:eastAsia="zh-CN"/>
        </w:rPr>
        <w:t>3.科学把控，</w:t>
      </w:r>
      <w:r>
        <w:rPr>
          <w:rFonts w:hint="eastAsia" w:ascii="仿宋_GB2312" w:hAnsi="仿宋_GB2312" w:eastAsia="仿宋_GB2312" w:cs="仿宋_GB2312"/>
        </w:rPr>
        <w:t>强化</w:t>
      </w:r>
      <w:r>
        <w:rPr>
          <w:rFonts w:hint="eastAsia" w:ascii="仿宋_GB2312" w:hAnsi="仿宋_GB2312" w:eastAsia="仿宋_GB2312" w:cs="仿宋_GB2312"/>
          <w:lang w:val="en-US" w:eastAsia="zh-CN"/>
        </w:rPr>
        <w:t>施工</w:t>
      </w:r>
      <w:r>
        <w:rPr>
          <w:rFonts w:hint="eastAsia" w:ascii="仿宋_GB2312" w:hAnsi="仿宋_GB2312" w:eastAsia="仿宋_GB2312" w:cs="仿宋_GB2312"/>
        </w:rPr>
        <w:t>过程管理。</w:t>
      </w:r>
      <w:r>
        <w:rPr>
          <w:rFonts w:hint="eastAsia" w:ascii="仿宋_GB2312" w:hAnsi="仿宋_GB2312" w:eastAsia="仿宋_GB2312" w:cs="仿宋_GB2312"/>
          <w:b w:val="0"/>
        </w:rPr>
        <w:t>坚持具体问题具体分析，对每项重点工程进行重、难点分析，延续“一周三报综合分析”管理模式，针对</w:t>
      </w:r>
      <w:r>
        <w:rPr>
          <w:rFonts w:hint="eastAsia" w:ascii="仿宋_GB2312" w:hAnsi="仿宋_GB2312" w:eastAsia="仿宋_GB2312" w:cs="仿宋_GB2312"/>
          <w:b w:val="0"/>
          <w:lang w:val="en-US" w:eastAsia="zh-CN"/>
        </w:rPr>
        <w:t>2024年度</w:t>
      </w:r>
      <w:r>
        <w:rPr>
          <w:rFonts w:hint="eastAsia" w:ascii="仿宋_GB2312" w:hAnsi="仿宋_GB2312" w:eastAsia="仿宋_GB2312" w:cs="仿宋_GB2312"/>
          <w:b w:val="0"/>
        </w:rPr>
        <w:t>教工路校区振兴计划提出针对性管理措施，编制“项目进度偏差动态汇总表”，采用科学适用的统计逻辑，将项目完成比例、进度偏差情况以更为清晰直观、简洁动态的图表呈现，使管理人员更高效</w:t>
      </w:r>
      <w:r>
        <w:rPr>
          <w:rFonts w:hint="eastAsia" w:ascii="仿宋_GB2312" w:hAnsi="仿宋_GB2312" w:eastAsia="仿宋_GB2312" w:cs="仿宋_GB2312"/>
          <w:b w:val="0"/>
          <w:lang w:val="en-US" w:eastAsia="zh-CN"/>
        </w:rPr>
        <w:t>地</w:t>
      </w:r>
      <w:r>
        <w:rPr>
          <w:rFonts w:hint="eastAsia" w:ascii="仿宋_GB2312" w:hAnsi="仿宋_GB2312" w:eastAsia="仿宋_GB2312" w:cs="仿宋_GB2312"/>
          <w:b w:val="0"/>
        </w:rPr>
        <w:t>采取纠偏措施，以科学思路解决实际问题。</w:t>
      </w:r>
    </w:p>
    <w:p>
      <w:pPr>
        <w:spacing w:line="560" w:lineRule="exact"/>
        <w:ind w:left="0" w:leftChars="0" w:firstLine="643" w:firstLineChars="200"/>
        <w:jc w:val="both"/>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4.提质增效，加强双线资料管控。</w:t>
      </w:r>
      <w:r>
        <w:rPr>
          <w:rFonts w:hint="eastAsia" w:ascii="仿宋_GB2312" w:hAnsi="仿宋_GB2312" w:eastAsia="仿宋_GB2312" w:cs="仿宋_GB2312"/>
          <w:b w:val="0"/>
          <w:kern w:val="2"/>
          <w:sz w:val="32"/>
          <w:szCs w:val="32"/>
          <w:lang w:val="en-US" w:eastAsia="zh-CN" w:bidi="ar-SA"/>
        </w:rPr>
        <w:t>2024年后勤中心多次与审计处沟通交流，相互促进送审资料完整性衔接，摒弃多次补充审计证明材料的原做法，总结出“电子资料管控目录”，通过双线资料管控，全面提升送审效率，做到送审资料“一次”报送。</w:t>
      </w:r>
    </w:p>
    <w:p>
      <w:pPr>
        <w:spacing w:line="560" w:lineRule="exact"/>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br w:type="page"/>
      </w:r>
    </w:p>
    <w:p>
      <w:pPr>
        <w:bidi w:val="0"/>
        <w:spacing w:line="660" w:lineRule="exact"/>
        <w:ind w:firstLine="0" w:firstLineChars="0"/>
        <w:jc w:val="center"/>
        <w:rPr>
          <w:rFonts w:ascii="方正小标宋简体" w:hAnsi="Times New Roman" w:eastAsia="方正小标宋简体" w:cs="Times New Roman"/>
          <w:b/>
          <w:sz w:val="44"/>
          <w:szCs w:val="44"/>
        </w:rPr>
      </w:pPr>
      <w:bookmarkStart w:id="29" w:name="_Toc5262943"/>
      <w:bookmarkStart w:id="30" w:name="_Toc103345072"/>
      <w:r>
        <w:rPr>
          <w:rFonts w:hint="eastAsia" w:ascii="方正小标宋简体" w:hAnsi="Times New Roman" w:eastAsia="方正小标宋简体" w:cs="Times New Roman"/>
          <w:b/>
          <w:sz w:val="44"/>
          <w:szCs w:val="44"/>
        </w:rPr>
        <w:t>2024年住房购置与货币化分房、</w:t>
      </w:r>
      <w:bookmarkStart w:id="31" w:name="_Toc4139"/>
      <w:bookmarkStart w:id="32" w:name="_Toc480461437"/>
      <w:bookmarkStart w:id="33" w:name="_Toc510517464"/>
    </w:p>
    <w:p>
      <w:pPr>
        <w:bidi w:val="0"/>
        <w:spacing w:line="660" w:lineRule="exact"/>
        <w:ind w:firstLine="1325" w:firstLineChars="300"/>
        <w:jc w:val="both"/>
        <w:rPr>
          <w:rFonts w:ascii="方正小标宋简体" w:hAnsi="Times New Roman" w:eastAsia="方正小标宋简体" w:cs="Times New Roman"/>
          <w:b/>
          <w:sz w:val="44"/>
          <w:szCs w:val="44"/>
        </w:rPr>
      </w:pPr>
      <w:r>
        <w:rPr>
          <w:rFonts w:hint="eastAsia" w:ascii="方正小标宋简体" w:hAnsi="Times New Roman" w:eastAsia="方正小标宋简体" w:cs="Times New Roman"/>
          <w:b/>
          <w:sz w:val="44"/>
          <w:szCs w:val="44"/>
        </w:rPr>
        <w:t>教职工宿舍</w:t>
      </w:r>
      <w:bookmarkEnd w:id="29"/>
      <w:bookmarkStart w:id="34" w:name="_Toc16159"/>
      <w:bookmarkStart w:id="35" w:name="_Toc5089735"/>
      <w:r>
        <w:rPr>
          <w:rFonts w:hint="eastAsia" w:ascii="方正小标宋简体" w:hAnsi="Times New Roman" w:eastAsia="方正小标宋简体" w:cs="Times New Roman"/>
          <w:b/>
          <w:sz w:val="44"/>
          <w:szCs w:val="44"/>
        </w:rPr>
        <w:t>租用工作公开报告</w:t>
      </w:r>
      <w:bookmarkEnd w:id="30"/>
      <w:bookmarkEnd w:id="31"/>
      <w:bookmarkEnd w:id="32"/>
      <w:bookmarkEnd w:id="33"/>
      <w:bookmarkEnd w:id="34"/>
      <w:bookmarkEnd w:id="35"/>
    </w:p>
    <w:p>
      <w:pPr>
        <w:widowControl w:val="0"/>
        <w:spacing w:line="560" w:lineRule="exact"/>
        <w:ind w:firstLine="640" w:firstLineChars="200"/>
        <w:jc w:val="left"/>
        <w:rPr>
          <w:rFonts w:ascii="黑体" w:hAnsi="黑体" w:eastAsia="黑体" w:cs="黑体"/>
          <w:b w:val="0"/>
          <w:bCs/>
          <w:kern w:val="2"/>
          <w:sz w:val="32"/>
          <w:szCs w:val="32"/>
          <w:lang w:val="en-US" w:eastAsia="zh-CN" w:bidi="ar-SA"/>
        </w:rPr>
      </w:pPr>
    </w:p>
    <w:p>
      <w:pPr>
        <w:widowControl w:val="0"/>
        <w:spacing w:line="560" w:lineRule="exact"/>
        <w:ind w:firstLine="640" w:firstLineChars="200"/>
        <w:jc w:val="both"/>
        <w:rPr>
          <w:rFonts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一、基本情况</w:t>
      </w:r>
    </w:p>
    <w:p>
      <w:pPr>
        <w:bidi w:val="0"/>
        <w:spacing w:line="560" w:lineRule="exact"/>
        <w:ind w:firstLine="643" w:firstLineChars="200"/>
        <w:jc w:val="both"/>
        <w:rPr>
          <w:rFonts w:ascii="楷体_GB2312" w:hAnsi="楷体" w:eastAsia="楷体_GB2312" w:cs="楷体"/>
          <w:b/>
          <w:bCs/>
          <w:sz w:val="32"/>
          <w:szCs w:val="32"/>
        </w:rPr>
      </w:pPr>
      <w:r>
        <w:rPr>
          <w:rFonts w:hint="eastAsia" w:ascii="楷体_GB2312" w:hAnsi="楷体" w:eastAsia="楷体_GB2312" w:cs="楷体"/>
          <w:b/>
          <w:bCs/>
          <w:sz w:val="32"/>
          <w:szCs w:val="32"/>
        </w:rPr>
        <w:t>（一）货币化分房</w:t>
      </w:r>
    </w:p>
    <w:p>
      <w:pPr>
        <w:bidi w:val="0"/>
        <w:spacing w:line="560" w:lineRule="exact"/>
        <w:ind w:firstLine="640" w:firstLineChars="200"/>
        <w:jc w:val="both"/>
        <w:rPr>
          <w:rFonts w:ascii="仿宋_GB2312" w:hAnsi="宋体" w:eastAsia="仿宋_GB2312"/>
          <w:sz w:val="32"/>
          <w:szCs w:val="32"/>
        </w:rPr>
      </w:pPr>
      <w:r>
        <w:rPr>
          <w:rFonts w:hint="eastAsia" w:ascii="仿宋_GB2312" w:hAnsi="宋体" w:eastAsia="仿宋_GB2312"/>
          <w:sz w:val="32"/>
          <w:szCs w:val="32"/>
        </w:rPr>
        <w:t>2024年度，完成52位引进人才的购房补贴启动工作；完成116名教职工的住房货币补贴（含一次性补贴和住房公积金补贴）新申请或职级晋升调整工作；并协助杭州商学院审核申报。</w:t>
      </w:r>
    </w:p>
    <w:p>
      <w:pPr>
        <w:bidi w:val="0"/>
        <w:spacing w:line="560" w:lineRule="exact"/>
        <w:ind w:firstLine="643" w:firstLineChars="200"/>
        <w:jc w:val="both"/>
        <w:rPr>
          <w:rFonts w:ascii="楷体_GB2312" w:hAnsi="楷体" w:eastAsia="楷体_GB2312" w:cs="楷体"/>
          <w:b/>
          <w:bCs/>
          <w:sz w:val="32"/>
          <w:szCs w:val="32"/>
        </w:rPr>
      </w:pPr>
      <w:r>
        <w:rPr>
          <w:rFonts w:hint="eastAsia" w:ascii="楷体_GB2312" w:hAnsi="楷体" w:eastAsia="楷体_GB2312" w:cs="楷体"/>
          <w:b/>
          <w:bCs/>
          <w:sz w:val="32"/>
          <w:szCs w:val="32"/>
        </w:rPr>
        <w:t>（二）教职工宿舍租用</w:t>
      </w:r>
    </w:p>
    <w:p>
      <w:pPr>
        <w:bidi w:val="0"/>
        <w:spacing w:line="560" w:lineRule="exact"/>
        <w:ind w:firstLine="640" w:firstLineChars="200"/>
        <w:jc w:val="both"/>
        <w:rPr>
          <w:rFonts w:ascii="仿宋_GB2312" w:hAnsi="宋体" w:eastAsia="仿宋_GB2312"/>
          <w:sz w:val="32"/>
          <w:szCs w:val="32"/>
        </w:rPr>
      </w:pPr>
      <w:r>
        <w:rPr>
          <w:rFonts w:hint="eastAsia" w:ascii="仿宋_GB2312" w:hAnsi="宋体" w:eastAsia="仿宋_GB2312"/>
          <w:sz w:val="32"/>
          <w:szCs w:val="32"/>
        </w:rPr>
        <w:t>2024年度，受理学校周转房（含市区套房、丽泽苑教职工宿舍、校内教职工集体宿舍）入住申请共计119人次；办理退宿113人次。</w:t>
      </w:r>
    </w:p>
    <w:p>
      <w:pPr>
        <w:bidi w:val="0"/>
        <w:spacing w:line="560" w:lineRule="exact"/>
        <w:ind w:firstLine="643" w:firstLineChars="200"/>
        <w:jc w:val="both"/>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（三）住房购置</w:t>
      </w:r>
    </w:p>
    <w:p>
      <w:pPr>
        <w:widowControl w:val="0"/>
        <w:spacing w:after="120"/>
        <w:ind w:left="0" w:leftChars="0" w:firstLine="640"/>
        <w:jc w:val="both"/>
        <w:rPr>
          <w:rFonts w:ascii="Calibri" w:hAnsi="Calibri" w:eastAsia="宋体" w:cs="Times New Roman"/>
          <w:kern w:val="2"/>
          <w:sz w:val="21"/>
          <w:szCs w:val="24"/>
          <w:lang w:val="en-US" w:eastAsia="zh-CN" w:bidi="ar-SA"/>
        </w:rPr>
      </w:pPr>
      <w:r>
        <w:rPr>
          <w:rFonts w:hint="eastAsia" w:ascii="仿宋_GB2312" w:hAnsi="宋体" w:eastAsia="仿宋_GB2312" w:cs="Times New Roman"/>
          <w:kern w:val="2"/>
          <w:sz w:val="32"/>
          <w:szCs w:val="32"/>
          <w:lang w:val="en-US" w:eastAsia="zh-CN" w:bidi="ar-SA"/>
        </w:rPr>
        <w:t>2024年度，受理专用房申购申请0人次。</w:t>
      </w:r>
    </w:p>
    <w:p>
      <w:pPr>
        <w:widowControl w:val="0"/>
        <w:spacing w:line="560" w:lineRule="exact"/>
        <w:ind w:firstLine="640" w:firstLineChars="200"/>
        <w:jc w:val="both"/>
        <w:rPr>
          <w:rFonts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二、工作措施</w:t>
      </w:r>
    </w:p>
    <w:p>
      <w:pPr>
        <w:bidi w:val="0"/>
        <w:spacing w:line="560" w:lineRule="exact"/>
        <w:ind w:firstLine="643" w:firstLineChars="200"/>
        <w:jc w:val="both"/>
        <w:rPr>
          <w:rFonts w:ascii="楷体_GB2312" w:hAnsi="楷体" w:eastAsia="楷体_GB2312" w:cs="楷体"/>
          <w:b/>
          <w:bCs/>
          <w:sz w:val="32"/>
          <w:szCs w:val="32"/>
        </w:rPr>
      </w:pPr>
      <w:r>
        <w:rPr>
          <w:rFonts w:hint="eastAsia" w:ascii="楷体_GB2312" w:hAnsi="楷体" w:eastAsia="楷体_GB2312" w:cs="楷体"/>
          <w:b/>
          <w:bCs/>
          <w:sz w:val="32"/>
          <w:szCs w:val="32"/>
        </w:rPr>
        <w:t>（一）货币化分房公开措施</w:t>
      </w:r>
    </w:p>
    <w:p>
      <w:pPr>
        <w:bidi w:val="0"/>
        <w:spacing w:line="560" w:lineRule="exact"/>
        <w:ind w:firstLine="640" w:firstLineChars="200"/>
        <w:jc w:val="both"/>
        <w:rPr>
          <w:rFonts w:ascii="仿宋_GB2312" w:hAnsi="宋体" w:eastAsia="仿宋_GB2312"/>
          <w:sz w:val="32"/>
          <w:szCs w:val="32"/>
        </w:rPr>
      </w:pPr>
      <w:r>
        <w:rPr>
          <w:rFonts w:hint="eastAsia" w:ascii="仿宋_GB2312" w:hAnsi="宋体" w:eastAsia="仿宋_GB2312"/>
          <w:sz w:val="32"/>
          <w:szCs w:val="32"/>
        </w:rPr>
        <w:t>1.依据：《关于省直财政补助事业单位职工住房补贴发放工作的实施意见》（浙财综字〔2007〕96号）、浙江省省直属单位住房改革委员会《关于住房公积金补贴发放有关规定的通知》（浙直房发〔2002〕5号）、《浙江省省直属单位（杭州市市区）住房补贴资金筹集、拨付和管理暂行办法》（省直房发〔2001〕1号）及学校相关会议纪要决议等有关文件。</w:t>
      </w:r>
    </w:p>
    <w:p>
      <w:pPr>
        <w:bidi w:val="0"/>
        <w:spacing w:line="560" w:lineRule="exact"/>
        <w:ind w:firstLine="640" w:firstLineChars="200"/>
        <w:jc w:val="both"/>
        <w:rPr>
          <w:rFonts w:ascii="仿宋_GB2312" w:hAnsi="宋体" w:eastAsia="仿宋_GB2312"/>
          <w:sz w:val="32"/>
          <w:szCs w:val="32"/>
        </w:rPr>
      </w:pPr>
      <w:r>
        <w:rPr>
          <w:rFonts w:hint="eastAsia" w:ascii="仿宋_GB2312" w:hAnsi="宋体" w:eastAsia="仿宋_GB2312"/>
          <w:sz w:val="32"/>
          <w:szCs w:val="32"/>
        </w:rPr>
        <w:t>2.公开措施：根据上级文件要求和学校相关文件精神，2024年5月和9月，通过校内办公网、公共事务管理处微信公众号和师生之家微信公众号等多口径分别发布《关于办理2024年度住房公积金补贴晋升调整的通知》和《关于办理2024年度一次性住房货币补贴和住房公积金补贴新申请的通知》，及时向教职工公开各类补贴申请程序及要求；并严格审核申请材料，通过公示后上报上级主管部门审批。</w:t>
      </w:r>
    </w:p>
    <w:p>
      <w:pPr>
        <w:bidi w:val="0"/>
        <w:spacing w:line="560" w:lineRule="exact"/>
        <w:ind w:firstLine="643" w:firstLineChars="200"/>
        <w:jc w:val="both"/>
        <w:rPr>
          <w:rFonts w:ascii="楷体_GB2312" w:hAnsi="楷体" w:eastAsia="楷体_GB2312" w:cs="楷体"/>
          <w:b/>
          <w:bCs/>
          <w:sz w:val="32"/>
          <w:szCs w:val="32"/>
        </w:rPr>
      </w:pPr>
      <w:r>
        <w:rPr>
          <w:rFonts w:hint="eastAsia" w:ascii="楷体_GB2312" w:hAnsi="楷体" w:eastAsia="楷体_GB2312" w:cs="楷体"/>
          <w:b/>
          <w:bCs/>
          <w:sz w:val="32"/>
          <w:szCs w:val="32"/>
        </w:rPr>
        <w:t>（二）教职工宿舍租用公开措施</w:t>
      </w:r>
    </w:p>
    <w:p>
      <w:pPr>
        <w:bidi w:val="0"/>
        <w:spacing w:line="560" w:lineRule="exact"/>
        <w:ind w:firstLine="640" w:firstLineChars="200"/>
        <w:jc w:val="both"/>
        <w:rPr>
          <w:rFonts w:ascii="仿宋_GB2312" w:hAnsi="宋体" w:eastAsia="仿宋_GB2312"/>
          <w:sz w:val="32"/>
          <w:szCs w:val="32"/>
        </w:rPr>
      </w:pPr>
      <w:r>
        <w:rPr>
          <w:rFonts w:hint="eastAsia" w:ascii="仿宋_GB2312" w:hAnsi="宋体" w:eastAsia="仿宋_GB2312"/>
          <w:sz w:val="32"/>
          <w:szCs w:val="32"/>
        </w:rPr>
        <w:t>每月，通过校内办公网发布《周转房申请人员名单公示》，对申请情况进行公示，接受全校监督。</w:t>
      </w:r>
    </w:p>
    <w:p>
      <w:pPr>
        <w:bidi w:val="0"/>
        <w:spacing w:line="560" w:lineRule="exact"/>
        <w:ind w:firstLine="643" w:firstLineChars="200"/>
        <w:jc w:val="both"/>
        <w:rPr>
          <w:rFonts w:ascii="楷体_GB2312" w:hAnsi="楷体" w:eastAsia="楷体_GB2312" w:cs="楷体"/>
          <w:b/>
          <w:bCs/>
          <w:sz w:val="32"/>
          <w:szCs w:val="32"/>
        </w:rPr>
      </w:pPr>
      <w:r>
        <w:rPr>
          <w:rFonts w:hint="eastAsia" w:ascii="楷体_GB2312" w:hAnsi="楷体" w:eastAsia="楷体_GB2312" w:cs="楷体"/>
          <w:b/>
          <w:bCs/>
          <w:sz w:val="32"/>
          <w:szCs w:val="32"/>
        </w:rPr>
        <w:t>（三）住房购置公开措施</w:t>
      </w:r>
    </w:p>
    <w:p>
      <w:pPr>
        <w:bidi w:val="0"/>
        <w:spacing w:line="240" w:lineRule="auto"/>
        <w:ind w:firstLine="640" w:firstLineChars="200"/>
        <w:jc w:val="both"/>
        <w:rPr>
          <w:rFonts w:ascii="Calibri" w:hAnsi="Calibri" w:eastAsia="宋体"/>
          <w:sz w:val="21"/>
          <w:szCs w:val="22"/>
        </w:rPr>
      </w:pPr>
      <w:r>
        <w:rPr>
          <w:rFonts w:hint="eastAsia" w:ascii="仿宋_GB2312" w:hAnsi="宋体" w:eastAsia="仿宋_GB2312"/>
          <w:sz w:val="32"/>
          <w:szCs w:val="32"/>
        </w:rPr>
        <w:t>严格执行上级售房办法和学校相关文件决议，审核申请人购房资格，并按照规定程序在校内办公网公示申请人相关信息，接受全校监督。</w:t>
      </w:r>
    </w:p>
    <w:p>
      <w:pPr>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br w:type="page"/>
      </w:r>
    </w:p>
    <w:p>
      <w:pPr>
        <w:spacing w:afterLines="100" w:line="360" w:lineRule="auto"/>
        <w:ind w:firstLine="0"/>
        <w:jc w:val="center"/>
        <w:rPr>
          <w:rFonts w:ascii="方正小标宋简体" w:hAnsi="Times New Roman" w:eastAsia="方正小标宋简体" w:cs="Times New Roman"/>
          <w:b/>
          <w:sz w:val="44"/>
          <w:szCs w:val="44"/>
        </w:rPr>
      </w:pPr>
      <w:r>
        <w:rPr>
          <w:rFonts w:hint="eastAsia" w:ascii="方正小标宋简体" w:hAnsi="Times New Roman" w:eastAsia="方正小标宋简体" w:cs="Times New Roman"/>
          <w:b/>
          <w:sz w:val="44"/>
          <w:szCs w:val="44"/>
        </w:rPr>
        <w:t>2024年出租房管理工作公开报告</w:t>
      </w:r>
    </w:p>
    <w:p>
      <w:pPr>
        <w:pStyle w:val="17"/>
        <w:ind w:firstLine="640"/>
        <w:rPr>
          <w:rFonts w:ascii="黑体" w:hAnsi="黑体" w:eastAsia="黑体" w:cs="黑体"/>
          <w:b w:val="0"/>
          <w:bCs/>
        </w:rPr>
      </w:pPr>
      <w:r>
        <w:rPr>
          <w:rFonts w:ascii="黑体" w:hAnsi="黑体" w:eastAsia="黑体" w:cs="黑体"/>
          <w:b w:val="0"/>
          <w:bCs/>
        </w:rPr>
        <w:t>一、基本情况</w:t>
      </w:r>
    </w:p>
    <w:p>
      <w:pPr>
        <w:spacing w:line="560" w:lineRule="exact"/>
        <w:ind w:firstLine="640" w:firstLineChars="200"/>
        <w:jc w:val="both"/>
        <w:rPr>
          <w:rFonts w:ascii="仿宋_GB2312" w:hAnsi="宋体" w:eastAsia="仿宋_GB2312" w:cs="Times New Roman"/>
          <w:sz w:val="32"/>
          <w:szCs w:val="32"/>
        </w:rPr>
      </w:pPr>
      <w:r>
        <w:rPr>
          <w:rFonts w:hint="eastAsia" w:ascii="仿宋_GB2312" w:hAnsi="宋体" w:eastAsia="仿宋_GB2312" w:cs="Times New Roman"/>
          <w:sz w:val="32"/>
          <w:szCs w:val="32"/>
        </w:rPr>
        <w:t>浙江工商大学出租房分布在教工路和下沙两个校区，总建筑面积</w:t>
      </w:r>
      <w:r>
        <w:rPr>
          <w:rFonts w:ascii="仿宋_GB2312" w:hAnsi="宋体" w:eastAsia="仿宋_GB2312" w:cs="Times New Roman"/>
          <w:sz w:val="32"/>
          <w:szCs w:val="32"/>
        </w:rPr>
        <w:t>81791.55</w:t>
      </w:r>
      <w:r>
        <w:rPr>
          <w:rFonts w:hint="eastAsia" w:ascii="仿宋_GB2312" w:hAnsi="宋体" w:eastAsia="仿宋_GB2312" w:cs="Times New Roman"/>
          <w:sz w:val="32"/>
          <w:szCs w:val="32"/>
        </w:rPr>
        <w:t>平方米，其中教工路校区</w:t>
      </w:r>
      <w:r>
        <w:rPr>
          <w:rFonts w:ascii="仿宋_GB2312" w:hAnsi="宋体" w:eastAsia="仿宋_GB2312" w:cs="Times New Roman"/>
          <w:sz w:val="32"/>
          <w:szCs w:val="32"/>
        </w:rPr>
        <w:t>63984.51</w:t>
      </w:r>
      <w:r>
        <w:rPr>
          <w:rFonts w:hint="eastAsia" w:ascii="仿宋_GB2312" w:hAnsi="宋体" w:eastAsia="仿宋_GB2312" w:cs="Times New Roman"/>
          <w:sz w:val="32"/>
          <w:szCs w:val="32"/>
        </w:rPr>
        <w:t>平方米，下沙校区</w:t>
      </w:r>
      <w:r>
        <w:rPr>
          <w:rFonts w:ascii="仿宋_GB2312" w:hAnsi="宋体" w:eastAsia="仿宋_GB2312" w:cs="Times New Roman"/>
          <w:sz w:val="32"/>
          <w:szCs w:val="32"/>
        </w:rPr>
        <w:t>17807.04</w:t>
      </w:r>
      <w:r>
        <w:rPr>
          <w:rFonts w:hint="eastAsia" w:ascii="仿宋_GB2312" w:hAnsi="宋体" w:eastAsia="仿宋_GB2312" w:cs="Times New Roman"/>
          <w:sz w:val="32"/>
          <w:szCs w:val="32"/>
        </w:rPr>
        <w:t>平方米。2024年全年实际累计完成租金收入5155.25923万元。其中：沿街出租房租金4814.59917万元；校内有偿使用费340.66006万元。全年未发生租金拖欠、拒付等情况。</w:t>
      </w:r>
    </w:p>
    <w:p>
      <w:pPr>
        <w:pStyle w:val="17"/>
        <w:ind w:firstLine="640"/>
        <w:jc w:val="both"/>
        <w:rPr>
          <w:rFonts w:ascii="黑体" w:hAnsi="黑体" w:eastAsia="黑体" w:cs="黑体"/>
          <w:b w:val="0"/>
          <w:bCs/>
        </w:rPr>
      </w:pPr>
      <w:r>
        <w:rPr>
          <w:rFonts w:ascii="黑体" w:hAnsi="黑体" w:eastAsia="黑体" w:cs="黑体"/>
          <w:b w:val="0"/>
          <w:bCs/>
        </w:rPr>
        <w:t>二、工作措施</w:t>
      </w:r>
    </w:p>
    <w:p>
      <w:pPr>
        <w:spacing w:line="560" w:lineRule="exact"/>
        <w:ind w:firstLine="643" w:firstLineChars="200"/>
        <w:jc w:val="both"/>
        <w:rPr>
          <w:rFonts w:ascii="楷体_GB2312" w:hAnsi="楷体" w:eastAsia="楷体_GB2312" w:cs="楷体"/>
          <w:b/>
          <w:bCs/>
          <w:sz w:val="32"/>
          <w:szCs w:val="32"/>
        </w:rPr>
      </w:pPr>
      <w:r>
        <w:rPr>
          <w:rFonts w:ascii="楷体_GB2312" w:hAnsi="楷体" w:eastAsia="楷体_GB2312" w:cs="楷体"/>
          <w:b/>
          <w:bCs/>
          <w:sz w:val="32"/>
          <w:szCs w:val="32"/>
        </w:rPr>
        <w:t>1.</w:t>
      </w:r>
      <w:r>
        <w:rPr>
          <w:rFonts w:hint="eastAsia" w:ascii="楷体_GB2312" w:hAnsi="楷体" w:eastAsia="楷体_GB2312" w:cs="楷体"/>
          <w:b/>
          <w:bCs/>
          <w:sz w:val="32"/>
          <w:szCs w:val="32"/>
        </w:rPr>
        <w:t>盘活校内</w:t>
      </w:r>
      <w:r>
        <w:rPr>
          <w:rFonts w:ascii="楷体_GB2312" w:hAnsi="楷体" w:eastAsia="楷体_GB2312" w:cs="楷体"/>
          <w:b/>
          <w:bCs/>
          <w:sz w:val="32"/>
          <w:szCs w:val="32"/>
        </w:rPr>
        <w:t>资源</w:t>
      </w:r>
      <w:r>
        <w:rPr>
          <w:rFonts w:hint="eastAsia" w:ascii="楷体_GB2312" w:hAnsi="楷体" w:eastAsia="楷体_GB2312" w:cs="楷体"/>
          <w:b/>
          <w:bCs/>
          <w:sz w:val="32"/>
          <w:szCs w:val="32"/>
        </w:rPr>
        <w:t>，做好招租工作</w:t>
      </w:r>
    </w:p>
    <w:p>
      <w:pPr>
        <w:spacing w:line="560" w:lineRule="exact"/>
        <w:ind w:firstLine="640" w:firstLineChars="200"/>
        <w:jc w:val="both"/>
        <w:rPr>
          <w:rFonts w:ascii="仿宋_GB2312" w:hAnsi="宋体" w:eastAsia="仿宋_GB2312" w:cs="Times New Roman"/>
          <w:sz w:val="32"/>
          <w:szCs w:val="32"/>
        </w:rPr>
      </w:pPr>
      <w:r>
        <w:rPr>
          <w:rFonts w:hint="eastAsia" w:ascii="仿宋_GB2312" w:hAnsi="宋体" w:eastAsia="仿宋_GB2312" w:cs="Times New Roman"/>
          <w:sz w:val="32"/>
          <w:szCs w:val="32"/>
        </w:rPr>
        <w:t>全年</w:t>
      </w:r>
      <w:r>
        <w:rPr>
          <w:rFonts w:ascii="仿宋_GB2312" w:hAnsi="宋体" w:eastAsia="仿宋_GB2312" w:cs="Times New Roman"/>
          <w:sz w:val="32"/>
          <w:szCs w:val="32"/>
        </w:rPr>
        <w:t>累计</w:t>
      </w:r>
      <w:r>
        <w:rPr>
          <w:rFonts w:hint="eastAsia" w:ascii="仿宋_GB2312" w:hAnsi="宋体" w:eastAsia="仿宋_GB2312" w:cs="Times New Roman"/>
          <w:sz w:val="32"/>
          <w:szCs w:val="32"/>
        </w:rPr>
        <w:t>房产租金评估</w:t>
      </w:r>
      <w:r>
        <w:rPr>
          <w:rFonts w:ascii="仿宋_GB2312" w:hAnsi="宋体" w:eastAsia="仿宋_GB2312" w:cs="Times New Roman"/>
          <w:sz w:val="32"/>
          <w:szCs w:val="32"/>
        </w:rPr>
        <w:t>10</w:t>
      </w:r>
      <w:r>
        <w:rPr>
          <w:rFonts w:hint="eastAsia" w:ascii="仿宋_GB2312" w:hAnsi="宋体" w:eastAsia="仿宋_GB2312" w:cs="Times New Roman"/>
          <w:sz w:val="32"/>
          <w:szCs w:val="32"/>
        </w:rPr>
        <w:t>批，涉及出租房</w:t>
      </w:r>
      <w:r>
        <w:rPr>
          <w:rFonts w:ascii="仿宋_GB2312" w:hAnsi="宋体" w:eastAsia="仿宋_GB2312" w:cs="Times New Roman"/>
          <w:sz w:val="32"/>
          <w:szCs w:val="32"/>
        </w:rPr>
        <w:t>61</w:t>
      </w:r>
      <w:r>
        <w:rPr>
          <w:rFonts w:hint="eastAsia" w:ascii="仿宋_GB2312" w:hAnsi="宋体" w:eastAsia="仿宋_GB2312" w:cs="Times New Roman"/>
          <w:sz w:val="32"/>
          <w:szCs w:val="32"/>
        </w:rPr>
        <w:t>处；完成房产出租申报</w:t>
      </w:r>
      <w:r>
        <w:rPr>
          <w:rFonts w:ascii="仿宋_GB2312" w:hAnsi="宋体" w:eastAsia="仿宋_GB2312" w:cs="Times New Roman"/>
          <w:sz w:val="32"/>
          <w:szCs w:val="32"/>
        </w:rPr>
        <w:t>6</w:t>
      </w:r>
      <w:r>
        <w:rPr>
          <w:rFonts w:hint="eastAsia" w:ascii="仿宋_GB2312" w:hAnsi="宋体" w:eastAsia="仿宋_GB2312" w:cs="Times New Roman"/>
          <w:sz w:val="32"/>
          <w:szCs w:val="32"/>
        </w:rPr>
        <w:t>批（含2次</w:t>
      </w:r>
      <w:r>
        <w:rPr>
          <w:rFonts w:ascii="仿宋_GB2312" w:hAnsi="宋体" w:eastAsia="仿宋_GB2312" w:cs="Times New Roman"/>
          <w:sz w:val="32"/>
          <w:szCs w:val="32"/>
        </w:rPr>
        <w:t>临时出租</w:t>
      </w:r>
      <w:r>
        <w:rPr>
          <w:rFonts w:hint="eastAsia" w:ascii="仿宋_GB2312" w:hAnsi="宋体" w:eastAsia="仿宋_GB2312" w:cs="Times New Roman"/>
          <w:sz w:val="32"/>
          <w:szCs w:val="32"/>
        </w:rPr>
        <w:t>），涉及出租审批单</w:t>
      </w:r>
      <w:r>
        <w:rPr>
          <w:rFonts w:ascii="仿宋_GB2312" w:hAnsi="宋体" w:eastAsia="仿宋_GB2312" w:cs="Times New Roman"/>
          <w:sz w:val="32"/>
          <w:szCs w:val="32"/>
        </w:rPr>
        <w:t>98</w:t>
      </w:r>
      <w:r>
        <w:rPr>
          <w:rFonts w:hint="eastAsia" w:ascii="仿宋_GB2312" w:hAnsi="宋体" w:eastAsia="仿宋_GB2312" w:cs="Times New Roman"/>
          <w:sz w:val="32"/>
          <w:szCs w:val="32"/>
        </w:rPr>
        <w:t>个，</w:t>
      </w:r>
      <w:r>
        <w:rPr>
          <w:rFonts w:ascii="仿宋_GB2312" w:hAnsi="宋体" w:eastAsia="仿宋_GB2312" w:cs="Times New Roman"/>
          <w:sz w:val="32"/>
          <w:szCs w:val="32"/>
        </w:rPr>
        <w:t>临时出租</w:t>
      </w:r>
      <w:r>
        <w:rPr>
          <w:rFonts w:hint="eastAsia" w:ascii="仿宋_GB2312" w:hAnsi="宋体" w:eastAsia="仿宋_GB2312" w:cs="Times New Roman"/>
          <w:sz w:val="32"/>
          <w:szCs w:val="32"/>
        </w:rPr>
        <w:t>审批单6个；完成1</w:t>
      </w:r>
      <w:r>
        <w:rPr>
          <w:rFonts w:ascii="仿宋_GB2312" w:hAnsi="宋体" w:eastAsia="仿宋_GB2312" w:cs="Times New Roman"/>
          <w:sz w:val="32"/>
          <w:szCs w:val="32"/>
        </w:rPr>
        <w:t>4</w:t>
      </w:r>
      <w:r>
        <w:rPr>
          <w:rFonts w:hint="eastAsia" w:ascii="仿宋_GB2312" w:hAnsi="宋体" w:eastAsia="仿宋_GB2312" w:cs="Times New Roman"/>
          <w:sz w:val="32"/>
          <w:szCs w:val="32"/>
        </w:rPr>
        <w:t>批次出租房招租工作，实际</w:t>
      </w:r>
      <w:r>
        <w:rPr>
          <w:rFonts w:ascii="仿宋_GB2312" w:hAnsi="宋体" w:eastAsia="仿宋_GB2312" w:cs="Times New Roman"/>
          <w:sz w:val="32"/>
          <w:szCs w:val="32"/>
        </w:rPr>
        <w:t>成交</w:t>
      </w:r>
      <w:r>
        <w:rPr>
          <w:rFonts w:hint="eastAsia" w:ascii="仿宋_GB2312" w:hAnsi="宋体" w:eastAsia="仿宋_GB2312" w:cs="Times New Roman"/>
          <w:sz w:val="32"/>
          <w:szCs w:val="32"/>
        </w:rPr>
        <w:t>地址31处。</w:t>
      </w:r>
      <w:r>
        <w:rPr>
          <w:rFonts w:ascii="仿宋_GB2312" w:hAnsi="宋体" w:eastAsia="仿宋_GB2312" w:cs="Times New Roman"/>
          <w:sz w:val="32"/>
          <w:szCs w:val="32"/>
        </w:rPr>
        <w:t>教工路校区新增科技楼、2号教学楼、东院印刷厂等15处出租房屋，合计增加面积1548.7平方米。</w:t>
      </w:r>
    </w:p>
    <w:p>
      <w:pPr>
        <w:spacing w:line="560" w:lineRule="exact"/>
        <w:ind w:firstLine="643" w:firstLineChars="200"/>
        <w:jc w:val="both"/>
        <w:rPr>
          <w:rFonts w:ascii="楷体_GB2312" w:hAnsi="楷体" w:eastAsia="楷体_GB2312" w:cs="楷体"/>
          <w:b/>
          <w:bCs/>
          <w:sz w:val="32"/>
          <w:szCs w:val="32"/>
        </w:rPr>
      </w:pPr>
      <w:r>
        <w:rPr>
          <w:rFonts w:ascii="楷体_GB2312" w:hAnsi="楷体" w:eastAsia="楷体_GB2312" w:cs="楷体"/>
          <w:b/>
          <w:bCs/>
          <w:sz w:val="32"/>
          <w:szCs w:val="32"/>
        </w:rPr>
        <w:t>2.聚焦</w:t>
      </w:r>
      <w:r>
        <w:rPr>
          <w:rFonts w:hint="eastAsia" w:ascii="楷体_GB2312" w:hAnsi="楷体" w:eastAsia="楷体_GB2312" w:cs="楷体"/>
          <w:b/>
          <w:bCs/>
          <w:sz w:val="32"/>
          <w:szCs w:val="32"/>
        </w:rPr>
        <w:t>师生需求</w:t>
      </w:r>
      <w:r>
        <w:rPr>
          <w:rFonts w:ascii="楷体_GB2312" w:hAnsi="楷体" w:eastAsia="楷体_GB2312" w:cs="楷体"/>
          <w:b/>
          <w:bCs/>
          <w:sz w:val="32"/>
          <w:szCs w:val="32"/>
        </w:rPr>
        <w:t>，</w:t>
      </w:r>
      <w:r>
        <w:rPr>
          <w:rFonts w:hint="eastAsia" w:ascii="楷体_GB2312" w:hAnsi="楷体" w:eastAsia="楷体_GB2312" w:cs="楷体"/>
          <w:b/>
          <w:bCs/>
          <w:sz w:val="32"/>
          <w:szCs w:val="32"/>
        </w:rPr>
        <w:t>提供贴心服务</w:t>
      </w:r>
    </w:p>
    <w:p>
      <w:pPr>
        <w:spacing w:line="560" w:lineRule="exact"/>
        <w:ind w:firstLine="640" w:firstLineChars="200"/>
        <w:jc w:val="both"/>
        <w:rPr>
          <w:rFonts w:ascii="仿宋_GB2312" w:hAnsi="宋体" w:eastAsia="仿宋_GB2312" w:cs="Times New Roman"/>
          <w:sz w:val="32"/>
          <w:szCs w:val="32"/>
        </w:rPr>
      </w:pPr>
      <w:r>
        <w:rPr>
          <w:rFonts w:ascii="仿宋_GB2312" w:hAnsi="宋体" w:eastAsia="仿宋_GB2312" w:cs="Times New Roman"/>
          <w:sz w:val="32"/>
          <w:szCs w:val="32"/>
        </w:rPr>
        <w:t>两校区教学区电动自行车充电桩全面升级，充电价格优惠从 1 元/4 小时提至 1 元/8 小时。改造后，两校区 10 座充电桩区域共 332 个充电口，解决师生充电难题，助力绿色出行。针对教工路校区师生开学快递需求增长，短期内增建 631 个格口丰巢快递柜，保障快递投递存放，提升服务效率与师生满意度。</w:t>
      </w:r>
    </w:p>
    <w:p>
      <w:pPr>
        <w:spacing w:line="560" w:lineRule="exact"/>
        <w:ind w:firstLine="643" w:firstLineChars="200"/>
        <w:jc w:val="both"/>
        <w:rPr>
          <w:rFonts w:ascii="楷体_GB2312" w:hAnsi="楷体" w:eastAsia="楷体_GB2312" w:cs="楷体"/>
          <w:b/>
          <w:bCs/>
          <w:sz w:val="32"/>
          <w:szCs w:val="32"/>
        </w:rPr>
      </w:pPr>
      <w:r>
        <w:rPr>
          <w:rFonts w:ascii="楷体_GB2312" w:hAnsi="楷体" w:eastAsia="楷体_GB2312" w:cs="楷体"/>
          <w:b/>
          <w:bCs/>
          <w:sz w:val="32"/>
          <w:szCs w:val="32"/>
        </w:rPr>
        <w:t>3.细化安全体系，形成管理常态化</w:t>
      </w:r>
    </w:p>
    <w:p>
      <w:pPr>
        <w:spacing w:line="560" w:lineRule="exact"/>
        <w:ind w:firstLine="640" w:firstLineChars="200"/>
        <w:jc w:val="both"/>
        <w:rPr>
          <w:rFonts w:ascii="仿宋_GB2312" w:hAnsi="宋体" w:eastAsia="仿宋_GB2312" w:cs="Times New Roman"/>
          <w:sz w:val="32"/>
          <w:szCs w:val="32"/>
        </w:rPr>
      </w:pPr>
      <w:r>
        <w:rPr>
          <w:rFonts w:hint="eastAsia" w:ascii="仿宋_GB2312" w:hAnsi="宋体" w:eastAsia="仿宋_GB2312" w:cs="Times New Roman"/>
          <w:sz w:val="32"/>
          <w:szCs w:val="32"/>
        </w:rPr>
        <w:t>落实</w:t>
      </w:r>
      <w:r>
        <w:rPr>
          <w:rFonts w:ascii="仿宋_GB2312" w:hAnsi="宋体" w:eastAsia="仿宋_GB2312" w:cs="Times New Roman"/>
          <w:sz w:val="32"/>
          <w:szCs w:val="32"/>
        </w:rPr>
        <w:t>沿街商铺</w:t>
      </w:r>
      <w:r>
        <w:rPr>
          <w:rFonts w:hint="eastAsia" w:ascii="仿宋_GB2312" w:hAnsi="宋体" w:eastAsia="仿宋_GB2312" w:cs="Times New Roman"/>
          <w:sz w:val="32"/>
          <w:szCs w:val="32"/>
        </w:rPr>
        <w:t>日常巡查</w:t>
      </w:r>
      <w:r>
        <w:rPr>
          <w:rFonts w:ascii="仿宋_GB2312" w:hAnsi="宋体" w:eastAsia="仿宋_GB2312" w:cs="Times New Roman"/>
          <w:sz w:val="32"/>
          <w:szCs w:val="32"/>
        </w:rPr>
        <w:t>，保障安全运营。</w:t>
      </w:r>
      <w:r>
        <w:rPr>
          <w:rFonts w:hint="eastAsia" w:ascii="仿宋_GB2312" w:hAnsi="宋体" w:eastAsia="仿宋_GB2312" w:cs="Times New Roman"/>
          <w:sz w:val="32"/>
          <w:szCs w:val="32"/>
        </w:rPr>
        <w:t>落实</w:t>
      </w:r>
      <w:r>
        <w:rPr>
          <w:rFonts w:ascii="仿宋_GB2312" w:hAnsi="宋体" w:eastAsia="仿宋_GB2312" w:cs="Times New Roman"/>
          <w:sz w:val="32"/>
          <w:szCs w:val="32"/>
        </w:rPr>
        <w:t>区域管理</w:t>
      </w:r>
      <w:r>
        <w:rPr>
          <w:rFonts w:hint="eastAsia" w:ascii="仿宋_GB2312" w:hAnsi="宋体" w:eastAsia="仿宋_GB2312" w:cs="Times New Roman"/>
          <w:sz w:val="32"/>
          <w:szCs w:val="32"/>
        </w:rPr>
        <w:t>，</w:t>
      </w:r>
      <w:r>
        <w:rPr>
          <w:rFonts w:ascii="仿宋_GB2312" w:hAnsi="宋体" w:eastAsia="仿宋_GB2312" w:cs="Times New Roman"/>
          <w:sz w:val="32"/>
          <w:szCs w:val="32"/>
        </w:rPr>
        <w:t>将学校商铺划为 5 个片区，指定管理员负责日常安全管理，实现区域化与责任化管理。</w:t>
      </w:r>
      <w:r>
        <w:rPr>
          <w:rFonts w:hint="eastAsia" w:ascii="仿宋_GB2312" w:hAnsi="宋体" w:eastAsia="仿宋_GB2312" w:cs="Times New Roman"/>
          <w:sz w:val="32"/>
          <w:szCs w:val="32"/>
        </w:rPr>
        <w:t>定期开展</w:t>
      </w:r>
      <w:r>
        <w:rPr>
          <w:rFonts w:ascii="仿宋_GB2312" w:hAnsi="宋体" w:eastAsia="仿宋_GB2312" w:cs="Times New Roman"/>
          <w:sz w:val="32"/>
          <w:szCs w:val="32"/>
        </w:rPr>
        <w:t>联合检查</w:t>
      </w:r>
      <w:r>
        <w:rPr>
          <w:rFonts w:hint="eastAsia" w:ascii="仿宋_GB2312" w:hAnsi="宋体" w:eastAsia="仿宋_GB2312" w:cs="Times New Roman"/>
          <w:sz w:val="32"/>
          <w:szCs w:val="32"/>
        </w:rPr>
        <w:t>，</w:t>
      </w:r>
      <w:r>
        <w:rPr>
          <w:rFonts w:ascii="仿宋_GB2312" w:hAnsi="宋体" w:eastAsia="仿宋_GB2312" w:cs="Times New Roman"/>
          <w:sz w:val="32"/>
          <w:szCs w:val="32"/>
        </w:rPr>
        <w:t>联合安全保卫部、后勤服务中心开展 4 次季度检查。</w:t>
      </w:r>
      <w:r>
        <w:rPr>
          <w:rFonts w:hint="eastAsia" w:ascii="仿宋_GB2312" w:hAnsi="宋体" w:eastAsia="仿宋_GB2312" w:cs="Times New Roman"/>
          <w:sz w:val="32"/>
          <w:szCs w:val="32"/>
        </w:rPr>
        <w:t>引入</w:t>
      </w:r>
      <w:r>
        <w:rPr>
          <w:rFonts w:ascii="仿宋_GB2312" w:hAnsi="宋体" w:eastAsia="仿宋_GB2312" w:cs="Times New Roman"/>
          <w:sz w:val="32"/>
          <w:szCs w:val="32"/>
        </w:rPr>
        <w:t>专业检测</w:t>
      </w:r>
      <w:r>
        <w:rPr>
          <w:rFonts w:hint="eastAsia" w:ascii="仿宋_GB2312" w:hAnsi="宋体" w:eastAsia="仿宋_GB2312" w:cs="Times New Roman"/>
          <w:sz w:val="32"/>
          <w:szCs w:val="32"/>
        </w:rPr>
        <w:t>，</w:t>
      </w:r>
      <w:r>
        <w:rPr>
          <w:rFonts w:ascii="仿宋_GB2312" w:hAnsi="宋体" w:eastAsia="仿宋_GB2312" w:cs="Times New Roman"/>
          <w:sz w:val="32"/>
          <w:szCs w:val="32"/>
        </w:rPr>
        <w:t>配合安保部引入第三方公司，对浙经院食堂等重点场所进行季度用电、消防等安全排查。落实“回头看”制度，跟踪复查整改情况，确保隐患彻底消除。</w:t>
      </w:r>
    </w:p>
    <w:p>
      <w:pPr>
        <w:jc w:val="both"/>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br w:type="page"/>
      </w:r>
    </w:p>
    <w:p>
      <w:pPr>
        <w:ind w:firstLine="0"/>
        <w:jc w:val="center"/>
        <w:rPr>
          <w:b/>
          <w:bCs/>
          <w:shd w:val="clear" w:color="auto" w:fill="FFFFFF"/>
        </w:rPr>
      </w:pPr>
      <w:bookmarkStart w:id="36" w:name="_Toc103345074"/>
      <w:r>
        <w:rPr>
          <w:rFonts w:hint="eastAsia" w:ascii="方正小标宋简体" w:hAnsi="方正小标宋简体" w:eastAsia="方正小标宋简体" w:cs="方正小标宋简体"/>
          <w:b/>
          <w:bCs/>
          <w:sz w:val="44"/>
          <w:szCs w:val="44"/>
        </w:rPr>
        <w:t>202</w:t>
      </w:r>
      <w:r>
        <w:rPr>
          <w:rFonts w:hint="eastAsia" w:ascii="方正小标宋简体" w:hAnsi="方正小标宋简体" w:eastAsia="方正小标宋简体" w:cs="方正小标宋简体"/>
          <w:b/>
          <w:bCs/>
          <w:sz w:val="44"/>
          <w:szCs w:val="44"/>
          <w:lang w:val="en-US" w:eastAsia="zh-CN"/>
        </w:rPr>
        <w:t>4</w:t>
      </w:r>
      <w:r>
        <w:rPr>
          <w:rFonts w:hint="eastAsia" w:ascii="方正小标宋简体" w:hAnsi="方正小标宋简体" w:eastAsia="方正小标宋简体" w:cs="方正小标宋简体"/>
          <w:b/>
          <w:bCs/>
          <w:sz w:val="44"/>
          <w:szCs w:val="44"/>
        </w:rPr>
        <w:t>年推进数字高校建设工作公开报告</w:t>
      </w:r>
      <w:bookmarkEnd w:id="36"/>
    </w:p>
    <w:p>
      <w:pPr>
        <w:spacing w:line="560" w:lineRule="exact"/>
        <w:ind w:firstLine="640" w:firstLineChars="200"/>
        <w:jc w:val="both"/>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为深入贯彻落实“数字中国”和“教育强国”战略，浙江工商大学深入学习习近平总书记重要讲话精神和党的二十大重要战略部署，深刻领悟“两个确立”决定性意义，增强“四个意识”、坚定“四个自信”、做到“两个维护”，将习近平同志2004年视察浙江工商大学时的重要指示精神和2021年110周年校庆时对学校的亲自祝贺关爱作为强大动力，认真学习贯彻易炼红书记在新春第一会上的重要讲话精神，以昂扬奋进、团结奋斗姿态全力推进六大“一号工程”，</w:t>
      </w:r>
      <w:r>
        <w:rPr>
          <w:rFonts w:ascii="仿宋_GB2312" w:hAnsi="仿宋_GB2312" w:eastAsia="仿宋_GB2312" w:cs="仿宋_GB2312"/>
          <w:sz w:val="32"/>
          <w:szCs w:val="32"/>
          <w:shd w:val="clear" w:color="auto" w:fill="FFFFFF"/>
        </w:rPr>
        <w:t>坚定不移深化数字化改革</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加速学校事业发展再上新台阶。</w:t>
      </w:r>
    </w:p>
    <w:p>
      <w:pPr>
        <w:spacing w:line="560" w:lineRule="exact"/>
        <w:ind w:firstLine="640" w:firstLineChars="200"/>
        <w:jc w:val="both"/>
        <w:rPr>
          <w:rFonts w:hint="eastAsia" w:ascii="仿宋_GB2312" w:hAnsi="仿宋_GB2312" w:eastAsia="仿宋_GB2312" w:cs="仿宋_GB2312"/>
          <w:sz w:val="32"/>
          <w:szCs w:val="32"/>
          <w:highlight w:val="none"/>
          <w:shd w:val="clear" w:color="auto" w:fill="FFFFFF"/>
          <w:lang w:eastAsia="zh-CN"/>
        </w:rPr>
      </w:pPr>
      <w:r>
        <w:rPr>
          <w:rFonts w:hint="eastAsia" w:ascii="仿宋_GB2312" w:hAnsi="仿宋_GB2312" w:eastAsia="仿宋_GB2312" w:cs="仿宋_GB2312"/>
          <w:sz w:val="32"/>
          <w:szCs w:val="32"/>
          <w:shd w:val="clear" w:color="auto" w:fill="FFFFFF"/>
        </w:rPr>
        <w:t>2020年9月，学校正式启动“数字高校”工程</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rPr>
        <w:t>出台学校“数字高校”十四五规划，形成“一事一库一图一体系一生态”的数字化改革框架和“1+2+5”数字高校治理体系。2021年底，我校发布由一体化智能化公共数据中台和四个多跨场</w:t>
      </w:r>
      <w:r>
        <w:rPr>
          <w:rFonts w:hint="eastAsia" w:ascii="仿宋_GB2312" w:hAnsi="仿宋_GB2312" w:eastAsia="仿宋_GB2312" w:cs="仿宋_GB2312"/>
          <w:sz w:val="32"/>
          <w:szCs w:val="32"/>
          <w:highlight w:val="none"/>
          <w:shd w:val="clear" w:color="auto" w:fill="FFFFFF"/>
        </w:rPr>
        <w:t>景应用组成的数字高校1.0版。</w:t>
      </w:r>
      <w:r>
        <w:rPr>
          <w:rFonts w:hint="eastAsia" w:ascii="仿宋_GB2312" w:hAnsi="仿宋_GB2312" w:eastAsia="仿宋_GB2312" w:cs="仿宋_GB2312"/>
          <w:sz w:val="32"/>
          <w:szCs w:val="32"/>
          <w:highlight w:val="none"/>
          <w:shd w:val="clear" w:color="auto" w:fill="FFFFFF"/>
          <w:lang w:val="en-US" w:eastAsia="zh-CN"/>
        </w:rPr>
        <w:t>2022年，</w:t>
      </w:r>
      <w:r>
        <w:rPr>
          <w:rFonts w:hint="eastAsia" w:ascii="仿宋_GB2312" w:hAnsi="仿宋_GB2312" w:eastAsia="仿宋_GB2312" w:cs="仿宋_GB2312"/>
          <w:sz w:val="32"/>
          <w:szCs w:val="32"/>
          <w:shd w:val="clear" w:color="auto" w:fill="FFFFFF"/>
        </w:rPr>
        <w:t>学校变“+数字”为“数字+”</w:t>
      </w:r>
      <w:r>
        <w:rPr>
          <w:rFonts w:hint="eastAsia" w:ascii="仿宋_GB2312" w:hAnsi="仿宋_GB2312" w:eastAsia="仿宋_GB2312" w:cs="仿宋_GB2312"/>
          <w:sz w:val="32"/>
          <w:szCs w:val="32"/>
          <w:shd w:val="clear" w:color="auto" w:fill="FFFFFF"/>
          <w:lang w:eastAsia="zh-CN"/>
        </w:rPr>
        <w:t>，发布数字高校1.0PLUS版暨“数字+”学科建设行动计划。</w:t>
      </w:r>
    </w:p>
    <w:p>
      <w:pPr>
        <w:spacing w:line="560" w:lineRule="exact"/>
        <w:ind w:firstLine="640" w:firstLineChars="200"/>
        <w:jc w:val="both"/>
        <w:rPr>
          <w:rFonts w:hint="eastAsia" w:ascii="仿宋_GB2312" w:hAnsi="仿宋_GB2312" w:eastAsia="仿宋_GB2312" w:cs="仿宋_GB2312"/>
          <w:sz w:val="32"/>
          <w:szCs w:val="32"/>
          <w:highlight w:val="none"/>
          <w:shd w:val="clear" w:color="auto" w:fill="FFFFFF"/>
          <w:lang w:eastAsia="zh-CN"/>
        </w:rPr>
      </w:pPr>
      <w:r>
        <w:rPr>
          <w:rFonts w:hint="eastAsia" w:ascii="仿宋_GB2312" w:hAnsi="仿宋_GB2312" w:eastAsia="仿宋_GB2312" w:cs="仿宋_GB2312"/>
          <w:sz w:val="32"/>
          <w:szCs w:val="32"/>
          <w:highlight w:val="none"/>
          <w:shd w:val="clear" w:color="auto" w:fill="FFFFFF"/>
          <w:lang w:eastAsia="zh-CN"/>
        </w:rPr>
        <w:t>2024年度，学校深化数字化改革专班架构，坚持以人工智能赋能五大卓越体系为战略引领，校领导统筹推进数字校园升级与学科生态重塑，牵头部门协同各学院实施“数字+”学科1510体系和人才培养九大专项行动，聚力打造数字基座与产教融合标杆工程。全年重点推进“商大副脑”智能平台建设，完成教学、科研、管理全链路数字化跃迁；建成科创大楼未来学习中心，落地虚拟仿真、数字孪生等创新工坊；落地“BAT-X”人工智能示范课程群，实现55门智慧课程与数字教材建设。学校建立月度联席会机制，六大跑道牵头单位汇报进展，校领导逐一点评并部署攻坚任务，人工智能时代“数字+教育”融合生态全面成型，在全省高校首发《人工智能时代创新型人才培养行动计划》，为创新型人才培养注入强劲动能。</w:t>
      </w:r>
    </w:p>
    <w:p>
      <w:pPr>
        <w:spacing w:line="560" w:lineRule="exact"/>
        <w:ind w:firstLine="641"/>
        <w:jc w:val="both"/>
        <w:rPr>
          <w:rFonts w:hint="eastAsia" w:ascii="黑体" w:hAnsi="黑体" w:eastAsia="黑体" w:cs="黑体"/>
          <w:b w:val="0"/>
          <w:bCs/>
          <w:sz w:val="32"/>
          <w:szCs w:val="32"/>
        </w:rPr>
      </w:pPr>
      <w:r>
        <w:rPr>
          <w:rFonts w:hint="eastAsia" w:ascii="黑体" w:hAnsi="黑体" w:eastAsia="黑体" w:cs="黑体"/>
          <w:b w:val="0"/>
          <w:bCs/>
          <w:sz w:val="32"/>
          <w:szCs w:val="32"/>
        </w:rPr>
        <w:t>一、</w:t>
      </w:r>
      <w:r>
        <w:rPr>
          <w:rFonts w:hint="eastAsia" w:ascii="黑体" w:hAnsi="黑体" w:eastAsia="黑体" w:cs="黑体"/>
          <w:b w:val="0"/>
          <w:bCs/>
          <w:sz w:val="32"/>
          <w:szCs w:val="32"/>
          <w:lang w:val="en-US" w:eastAsia="zh-CN"/>
        </w:rPr>
        <w:t>2024年度</w:t>
      </w:r>
      <w:r>
        <w:rPr>
          <w:rFonts w:hint="eastAsia" w:ascii="黑体" w:hAnsi="黑体" w:eastAsia="黑体" w:cs="黑体"/>
          <w:b w:val="0"/>
          <w:bCs/>
          <w:sz w:val="32"/>
          <w:szCs w:val="32"/>
        </w:rPr>
        <w:t>学校数字化改革的主要成果</w:t>
      </w:r>
    </w:p>
    <w:p>
      <w:pPr>
        <w:spacing w:line="560" w:lineRule="exact"/>
        <w:ind w:firstLine="641"/>
        <w:jc w:val="both"/>
        <w:rPr>
          <w:rFonts w:hint="default" w:ascii="仿宋_GB2312" w:hAnsi="仿宋_GB2312" w:eastAsia="仿宋_GB2312" w:cs="仿宋_GB2312"/>
          <w:sz w:val="32"/>
          <w:szCs w:val="32"/>
          <w:shd w:val="clear" w:color="auto" w:fill="FFFFFF"/>
          <w:lang w:val="en-US" w:eastAsia="zh-CN"/>
        </w:rPr>
      </w:pPr>
      <w:r>
        <w:rPr>
          <w:rFonts w:hint="eastAsia" w:ascii="楷体_GB2312" w:hAnsi="楷体_GB2312" w:eastAsia="楷体_GB2312" w:cs="楷体_GB2312"/>
          <w:b/>
          <w:bCs/>
          <w:sz w:val="32"/>
          <w:szCs w:val="32"/>
          <w:shd w:val="clear" w:color="auto" w:fill="FFFFFF"/>
        </w:rPr>
        <w:t>（</w:t>
      </w:r>
      <w:r>
        <w:rPr>
          <w:rFonts w:hint="eastAsia" w:ascii="楷体_GB2312" w:hAnsi="楷体_GB2312" w:eastAsia="楷体_GB2312" w:cs="楷体_GB2312"/>
          <w:b/>
          <w:bCs/>
          <w:sz w:val="32"/>
          <w:szCs w:val="32"/>
          <w:shd w:val="clear" w:color="auto" w:fill="FFFFFF"/>
          <w:lang w:val="en-US" w:eastAsia="zh-CN"/>
        </w:rPr>
        <w:t>一</w:t>
      </w:r>
      <w:r>
        <w:rPr>
          <w:rFonts w:hint="eastAsia" w:ascii="楷体_GB2312" w:hAnsi="楷体_GB2312" w:eastAsia="楷体_GB2312" w:cs="楷体_GB2312"/>
          <w:b/>
          <w:bCs/>
          <w:sz w:val="32"/>
          <w:szCs w:val="32"/>
          <w:shd w:val="clear" w:color="auto" w:fill="FFFFFF"/>
        </w:rPr>
        <w:t>）推进数字高校2.0相关规划</w:t>
      </w:r>
    </w:p>
    <w:p>
      <w:pPr>
        <w:spacing w:line="560" w:lineRule="exact"/>
        <w:ind w:firstLine="615"/>
        <w:jc w:val="both"/>
        <w:rPr>
          <w:rFonts w:hint="default" w:ascii="仿宋_GB2312" w:hAnsi="仿宋_GB2312" w:eastAsia="仿宋_GB2312" w:cs="仿宋_GB2312"/>
          <w:sz w:val="32"/>
          <w:szCs w:val="32"/>
          <w:shd w:val="clear" w:color="auto" w:fill="FFFFFF"/>
          <w:lang w:val="en-US" w:eastAsia="zh-CN"/>
        </w:rPr>
      </w:pPr>
      <w:r>
        <w:rPr>
          <w:rFonts w:hint="default" w:ascii="仿宋_GB2312" w:hAnsi="仿宋_GB2312" w:eastAsia="仿宋_GB2312" w:cs="仿宋_GB2312"/>
          <w:sz w:val="32"/>
          <w:szCs w:val="32"/>
          <w:shd w:val="clear" w:color="auto" w:fill="FFFFFF"/>
          <w:lang w:val="en-US" w:eastAsia="zh-CN"/>
        </w:rPr>
        <w:t>为落实学校“数字改革示范高校”建设方针，以进一步推动学校数字化改革工作和“数字高校”项目建设，副校长陈衍泰主持并多次召开“数字高校”2.0建设推进协调会议。在数字化办公室的统筹下，已从需求征集、联合排演、资源规划到任务细化四个方面，协调各相关部门全面推进数字化改革工作，并初步形成了数字高校2.0的总体谋划草案。</w:t>
      </w:r>
    </w:p>
    <w:p>
      <w:pPr>
        <w:spacing w:line="560" w:lineRule="exact"/>
        <w:ind w:firstLine="641"/>
        <w:jc w:val="both"/>
        <w:rPr>
          <w:rFonts w:hint="default" w:ascii="仿宋_GB2312" w:hAnsi="仿宋_GB2312" w:eastAsia="仿宋_GB2312" w:cs="仿宋_GB2312"/>
          <w:sz w:val="32"/>
          <w:szCs w:val="32"/>
          <w:shd w:val="clear" w:color="auto" w:fill="FFFFFF"/>
          <w:lang w:val="en-US" w:eastAsia="zh-CN"/>
        </w:rPr>
      </w:pPr>
      <w:r>
        <w:rPr>
          <w:rFonts w:hint="eastAsia" w:ascii="楷体_GB2312" w:hAnsi="楷体_GB2312" w:eastAsia="楷体_GB2312" w:cs="楷体_GB2312"/>
          <w:b/>
          <w:bCs/>
          <w:sz w:val="32"/>
          <w:szCs w:val="32"/>
          <w:shd w:val="clear" w:color="auto" w:fill="FFFFFF"/>
        </w:rPr>
        <w:t>（</w:t>
      </w:r>
      <w:r>
        <w:rPr>
          <w:rFonts w:hint="eastAsia" w:ascii="楷体_GB2312" w:hAnsi="楷体_GB2312" w:eastAsia="楷体_GB2312" w:cs="楷体_GB2312"/>
          <w:b/>
          <w:bCs/>
          <w:sz w:val="32"/>
          <w:szCs w:val="32"/>
          <w:shd w:val="clear" w:color="auto" w:fill="FFFFFF"/>
          <w:lang w:val="en-US" w:eastAsia="zh-CN"/>
        </w:rPr>
        <w:t>二</w:t>
      </w:r>
      <w:r>
        <w:rPr>
          <w:rFonts w:hint="eastAsia" w:ascii="楷体_GB2312" w:hAnsi="楷体_GB2312" w:eastAsia="楷体_GB2312" w:cs="楷体_GB2312"/>
          <w:b/>
          <w:bCs/>
          <w:sz w:val="32"/>
          <w:szCs w:val="32"/>
          <w:shd w:val="clear" w:color="auto" w:fill="FFFFFF"/>
        </w:rPr>
        <w:t>）数字化改革</w:t>
      </w:r>
      <w:r>
        <w:rPr>
          <w:rFonts w:hint="eastAsia" w:ascii="楷体_GB2312" w:hAnsi="楷体_GB2312" w:eastAsia="楷体_GB2312" w:cs="楷体_GB2312"/>
          <w:b/>
          <w:bCs/>
          <w:sz w:val="32"/>
          <w:szCs w:val="32"/>
          <w:shd w:val="clear" w:color="auto" w:fill="FFFFFF"/>
          <w:lang w:val="en-US" w:eastAsia="zh-CN"/>
        </w:rPr>
        <w:t>荣誉</w:t>
      </w:r>
      <w:r>
        <w:rPr>
          <w:rFonts w:hint="eastAsia" w:ascii="楷体_GB2312" w:hAnsi="楷体_GB2312" w:eastAsia="楷体_GB2312" w:cs="楷体_GB2312"/>
          <w:b/>
          <w:bCs/>
          <w:sz w:val="32"/>
          <w:szCs w:val="32"/>
          <w:shd w:val="clear" w:color="auto" w:fill="FFFFFF"/>
        </w:rPr>
        <w:t>成果</w:t>
      </w:r>
    </w:p>
    <w:p>
      <w:pPr>
        <w:spacing w:line="560" w:lineRule="exact"/>
        <w:ind w:firstLine="615"/>
        <w:jc w:val="both"/>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2024年，</w:t>
      </w:r>
      <w:r>
        <w:rPr>
          <w:rFonts w:hint="default" w:ascii="仿宋_GB2312" w:hAnsi="仿宋_GB2312" w:eastAsia="仿宋_GB2312" w:cs="仿宋_GB2312"/>
          <w:sz w:val="32"/>
          <w:szCs w:val="32"/>
          <w:shd w:val="clear" w:color="auto" w:fill="FFFFFF"/>
          <w:lang w:val="en-US" w:eastAsia="zh-CN"/>
        </w:rPr>
        <w:t>数字化办公室积极</w:t>
      </w:r>
      <w:r>
        <w:rPr>
          <w:rFonts w:hint="eastAsia" w:ascii="仿宋_GB2312" w:hAnsi="仿宋_GB2312" w:eastAsia="仿宋_GB2312" w:cs="仿宋_GB2312"/>
          <w:sz w:val="32"/>
          <w:szCs w:val="32"/>
          <w:shd w:val="clear" w:color="auto" w:fill="FFFFFF"/>
          <w:lang w:val="en-US" w:eastAsia="zh-CN"/>
        </w:rPr>
        <w:t>推进</w:t>
      </w:r>
      <w:r>
        <w:rPr>
          <w:rFonts w:hint="default" w:ascii="仿宋_GB2312" w:hAnsi="仿宋_GB2312" w:eastAsia="仿宋_GB2312" w:cs="仿宋_GB2312"/>
          <w:sz w:val="32"/>
          <w:szCs w:val="32"/>
          <w:shd w:val="clear" w:color="auto" w:fill="FFFFFF"/>
          <w:lang w:val="en-US" w:eastAsia="zh-CN"/>
        </w:rPr>
        <w:t>教育厅数字教育创新试点项目，经过</w:t>
      </w:r>
      <w:r>
        <w:rPr>
          <w:rFonts w:hint="eastAsia" w:ascii="仿宋_GB2312" w:hAnsi="仿宋_GB2312" w:eastAsia="仿宋_GB2312" w:cs="仿宋_GB2312"/>
          <w:sz w:val="32"/>
          <w:szCs w:val="32"/>
          <w:shd w:val="clear" w:color="auto" w:fill="FFFFFF"/>
          <w:lang w:val="en-US" w:eastAsia="zh-CN"/>
        </w:rPr>
        <w:t>充分总结中期汇报专家意见后</w:t>
      </w:r>
      <w:r>
        <w:rPr>
          <w:rFonts w:hint="default" w:ascii="仿宋_GB2312" w:hAnsi="仿宋_GB2312" w:eastAsia="仿宋_GB2312" w:cs="仿宋_GB2312"/>
          <w:sz w:val="32"/>
          <w:szCs w:val="32"/>
          <w:shd w:val="clear" w:color="auto" w:fill="FFFFFF"/>
          <w:lang w:val="en-US" w:eastAsia="zh-CN"/>
        </w:rPr>
        <w:t>与全校各部门的深入调研、交流及分析，</w:t>
      </w:r>
      <w:r>
        <w:rPr>
          <w:rFonts w:hint="eastAsia" w:ascii="仿宋_GB2312" w:hAnsi="仿宋_GB2312" w:eastAsia="仿宋_GB2312" w:cs="仿宋_GB2312"/>
          <w:sz w:val="32"/>
          <w:szCs w:val="32"/>
          <w:shd w:val="clear" w:color="auto" w:fill="FFFFFF"/>
          <w:lang w:val="en-US" w:eastAsia="zh-CN"/>
        </w:rPr>
        <w:t>进一步完善</w:t>
      </w:r>
      <w:r>
        <w:rPr>
          <w:rFonts w:hint="default" w:ascii="仿宋_GB2312" w:hAnsi="仿宋_GB2312" w:eastAsia="仿宋_GB2312" w:cs="仿宋_GB2312"/>
          <w:sz w:val="32"/>
          <w:szCs w:val="32"/>
          <w:shd w:val="clear" w:color="auto" w:fill="FFFFFF"/>
          <w:lang w:val="en-US" w:eastAsia="zh-CN"/>
        </w:rPr>
        <w:t>实施方案，并得到教育厅的高度认可和支持，</w:t>
      </w:r>
      <w:r>
        <w:rPr>
          <w:rFonts w:hint="eastAsia" w:ascii="仿宋_GB2312" w:hAnsi="仿宋_GB2312" w:eastAsia="仿宋_GB2312" w:cs="仿宋_GB2312"/>
          <w:sz w:val="32"/>
          <w:szCs w:val="32"/>
          <w:shd w:val="clear" w:color="auto" w:fill="FFFFFF"/>
          <w:lang w:val="en-US" w:eastAsia="zh-CN"/>
        </w:rPr>
        <w:t>2024年11月顺利完成</w:t>
      </w:r>
      <w:r>
        <w:rPr>
          <w:rFonts w:hint="default" w:ascii="仿宋_GB2312" w:hAnsi="仿宋_GB2312" w:eastAsia="仿宋_GB2312" w:cs="仿宋_GB2312"/>
          <w:sz w:val="32"/>
          <w:szCs w:val="32"/>
          <w:shd w:val="clear" w:color="auto" w:fill="FFFFFF"/>
          <w:lang w:val="en-US" w:eastAsia="zh-CN"/>
        </w:rPr>
        <w:t>教育厅数字教育试点项目</w:t>
      </w:r>
      <w:r>
        <w:rPr>
          <w:rFonts w:hint="eastAsia" w:ascii="仿宋_GB2312" w:hAnsi="仿宋_GB2312" w:eastAsia="仿宋_GB2312" w:cs="仿宋_GB2312"/>
          <w:sz w:val="32"/>
          <w:szCs w:val="32"/>
          <w:shd w:val="clear" w:color="auto" w:fill="FFFFFF"/>
          <w:lang w:val="en-US" w:eastAsia="zh-CN"/>
        </w:rPr>
        <w:t>的验收工作</w:t>
      </w:r>
      <w:r>
        <w:rPr>
          <w:rFonts w:hint="default" w:ascii="仿宋_GB2312" w:hAnsi="仿宋_GB2312" w:eastAsia="仿宋_GB2312" w:cs="仿宋_GB2312"/>
          <w:sz w:val="32"/>
          <w:szCs w:val="32"/>
          <w:shd w:val="clear" w:color="auto" w:fill="FFFFFF"/>
          <w:lang w:val="en-US" w:eastAsia="zh-CN"/>
        </w:rPr>
        <w:t>。</w:t>
      </w:r>
    </w:p>
    <w:p>
      <w:pPr>
        <w:spacing w:line="560" w:lineRule="exact"/>
        <w:ind w:firstLine="615"/>
        <w:jc w:val="both"/>
        <w:rPr>
          <w:rFonts w:hint="default"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2024年12月，</w:t>
      </w:r>
      <w:r>
        <w:rPr>
          <w:rFonts w:hint="default" w:ascii="仿宋_GB2312" w:hAnsi="仿宋_GB2312" w:eastAsia="仿宋_GB2312" w:cs="仿宋_GB2312"/>
          <w:sz w:val="32"/>
          <w:szCs w:val="32"/>
          <w:shd w:val="clear" w:color="auto" w:fill="FFFFFF"/>
          <w:lang w:val="en-US" w:eastAsia="zh-CN"/>
        </w:rPr>
        <w:t>浙江省计算机学会教育信息化专业委员会、中国教育和科研计算机网浙江省主节点联合表彰了一批高校网络信息化建设先进单位和先进个人。我校荣获“浙江省高校网络信息化建设工作先进单位－</w:t>
      </w:r>
      <w:r>
        <w:rPr>
          <w:rFonts w:hint="eastAsia" w:ascii="仿宋_GB2312" w:hAnsi="仿宋_GB2312" w:eastAsia="仿宋_GB2312" w:cs="仿宋_GB2312"/>
          <w:sz w:val="32"/>
          <w:szCs w:val="32"/>
          <w:shd w:val="clear" w:color="auto" w:fill="FFFFFF"/>
          <w:lang w:val="en-US" w:eastAsia="zh-CN"/>
        </w:rPr>
        <w:t>信息技术应用创新方向</w:t>
      </w:r>
      <w:r>
        <w:rPr>
          <w:rFonts w:hint="default" w:ascii="仿宋_GB2312" w:hAnsi="仿宋_GB2312" w:eastAsia="仿宋_GB2312" w:cs="仿宋_GB2312"/>
          <w:sz w:val="32"/>
          <w:szCs w:val="32"/>
          <w:shd w:val="clear" w:color="auto" w:fill="FFFFFF"/>
          <w:lang w:val="en-US" w:eastAsia="zh-CN"/>
        </w:rPr>
        <w:t>”和“浙江省高校网络信息化建设工作先进单位－校园新基建方向”两项荣誉</w:t>
      </w:r>
      <w:r>
        <w:rPr>
          <w:rFonts w:hint="eastAsia" w:ascii="仿宋_GB2312" w:hAnsi="仿宋_GB2312" w:eastAsia="仿宋_GB2312" w:cs="仿宋_GB2312"/>
          <w:sz w:val="32"/>
          <w:szCs w:val="32"/>
          <w:shd w:val="clear" w:color="auto" w:fill="FFFFFF"/>
          <w:lang w:val="en-US" w:eastAsia="zh-CN"/>
        </w:rPr>
        <w:t>（见图1）</w:t>
      </w:r>
      <w:r>
        <w:rPr>
          <w:rFonts w:hint="default" w:ascii="仿宋_GB2312" w:hAnsi="仿宋_GB2312" w:eastAsia="仿宋_GB2312" w:cs="仿宋_GB2312"/>
          <w:sz w:val="32"/>
          <w:szCs w:val="32"/>
          <w:shd w:val="clear" w:color="auto" w:fill="FFFFFF"/>
          <w:lang w:val="en-US" w:eastAsia="zh-CN"/>
        </w:rPr>
        <w:t>。</w:t>
      </w:r>
    </w:p>
    <w:p>
      <w:pPr>
        <w:spacing w:after="100"/>
        <w:jc w:val="center"/>
        <w:rPr>
          <w:rFonts w:hint="eastAsia" w:ascii="仿宋_GB2312" w:hAnsi="仿宋_GB2312" w:eastAsia="仿宋_GB2312" w:cs="仿宋_GB2312"/>
          <w:b/>
          <w:bCs/>
          <w:sz w:val="24"/>
          <w:lang w:eastAsia="zh-CN"/>
        </w:rPr>
      </w:pPr>
      <w:r>
        <w:rPr>
          <w:rFonts w:hint="eastAsia" w:ascii="仿宋_GB2312" w:hAnsi="仿宋_GB2312" w:eastAsia="仿宋_GB2312" w:cs="仿宋_GB2312"/>
          <w:b/>
          <w:bCs/>
          <w:sz w:val="24"/>
          <w:lang w:eastAsia="zh-CN"/>
        </w:rPr>
        <w:drawing>
          <wp:inline distT="0" distB="0" distL="114300" distR="114300">
            <wp:extent cx="2125980" cy="1500505"/>
            <wp:effectExtent l="0" t="0" r="7620" b="4445"/>
            <wp:docPr id="1" name="图片 1" descr="证书-浙江工商大学-信息技术应用创新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证书-浙江工商大学-信息技术应用创新_00"/>
                    <pic:cNvPicPr>
                      <a:picLocks noChangeAspect="1"/>
                    </pic:cNvPicPr>
                  </pic:nvPicPr>
                  <pic:blipFill>
                    <a:blip r:embed="rId10"/>
                    <a:stretch>
                      <a:fillRect/>
                    </a:stretch>
                  </pic:blipFill>
                  <pic:spPr>
                    <a:xfrm>
                      <a:off x="0" y="0"/>
                      <a:ext cx="2125980" cy="1500505"/>
                    </a:xfrm>
                    <a:prstGeom prst="rect">
                      <a:avLst/>
                    </a:prstGeom>
                  </pic:spPr>
                </pic:pic>
              </a:graphicData>
            </a:graphic>
          </wp:inline>
        </w:drawing>
      </w:r>
      <w:r>
        <w:rPr>
          <w:rFonts w:hint="eastAsia" w:ascii="仿宋_GB2312" w:hAnsi="仿宋_GB2312" w:eastAsia="仿宋_GB2312" w:cs="仿宋_GB2312"/>
          <w:b/>
          <w:bCs/>
          <w:sz w:val="24"/>
          <w:lang w:eastAsia="zh-CN"/>
        </w:rPr>
        <w:drawing>
          <wp:inline distT="0" distB="0" distL="114300" distR="114300">
            <wp:extent cx="2128520" cy="1503045"/>
            <wp:effectExtent l="0" t="0" r="5080" b="1905"/>
            <wp:docPr id="3" name="图片 3" descr="证书-浙江工商大学-校园新基建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证书-浙江工商大学-校园新基建_00"/>
                    <pic:cNvPicPr>
                      <a:picLocks noChangeAspect="1"/>
                    </pic:cNvPicPr>
                  </pic:nvPicPr>
                  <pic:blipFill>
                    <a:blip r:embed="rId11"/>
                    <a:stretch>
                      <a:fillRect/>
                    </a:stretch>
                  </pic:blipFill>
                  <pic:spPr>
                    <a:xfrm>
                      <a:off x="0" y="0"/>
                      <a:ext cx="2128520" cy="1503045"/>
                    </a:xfrm>
                    <a:prstGeom prst="rect">
                      <a:avLst/>
                    </a:prstGeom>
                  </pic:spPr>
                </pic:pic>
              </a:graphicData>
            </a:graphic>
          </wp:inline>
        </w:drawing>
      </w:r>
    </w:p>
    <w:p>
      <w:pPr>
        <w:spacing w:after="100"/>
        <w:jc w:val="center"/>
        <w:rPr>
          <w:rFonts w:hint="eastAsia" w:ascii="仿宋_GB2312" w:hAnsi="Times New Roman" w:eastAsia="仿宋_GB2312"/>
          <w:sz w:val="32"/>
          <w:szCs w:val="32"/>
          <w:lang w:val="en-US" w:eastAsia="zh-CN"/>
        </w:rPr>
      </w:pPr>
      <w:r>
        <w:rPr>
          <w:rFonts w:hint="eastAsia" w:ascii="仿宋_GB2312" w:hAnsi="仿宋_GB2312" w:eastAsia="仿宋_GB2312" w:cs="仿宋_GB2312"/>
          <w:b/>
          <w:bCs/>
          <w:sz w:val="24"/>
        </w:rPr>
        <w:t>图</w:t>
      </w:r>
      <w:r>
        <w:rPr>
          <w:rFonts w:hint="eastAsia" w:ascii="仿宋_GB2312" w:hAnsi="仿宋_GB2312" w:eastAsia="仿宋_GB2312" w:cs="仿宋_GB2312"/>
          <w:b/>
          <w:bCs/>
          <w:sz w:val="24"/>
          <w:lang w:val="en-US" w:eastAsia="zh-CN"/>
        </w:rPr>
        <w:t>1先进单位荣誉证书</w:t>
      </w:r>
    </w:p>
    <w:p>
      <w:pPr>
        <w:spacing w:line="560" w:lineRule="exact"/>
        <w:ind w:firstLine="641"/>
        <w:jc w:val="both"/>
        <w:rPr>
          <w:rFonts w:hint="eastAsia" w:ascii="楷体_GB2312" w:hAnsi="楷体_GB2312" w:eastAsia="楷体_GB2312" w:cs="楷体_GB2312"/>
          <w:b/>
          <w:bCs/>
          <w:color w:val="000000" w:themeColor="text1"/>
          <w:sz w:val="32"/>
          <w:szCs w:val="32"/>
          <w:shd w:val="clear" w:color="auto" w:fill="FFFFFF"/>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shd w:val="clear" w:color="auto" w:fill="FFFFFF"/>
          <w:lang w:val="en-US" w:eastAsia="zh-CN"/>
          <w14:textFill>
            <w14:solidFill>
              <w14:schemeClr w14:val="tx1"/>
            </w14:solidFill>
          </w14:textFill>
        </w:rPr>
        <w:t>（三）制度建设</w:t>
      </w:r>
    </w:p>
    <w:p>
      <w:pPr>
        <w:spacing w:line="560" w:lineRule="exact"/>
        <w:ind w:firstLine="641"/>
        <w:jc w:val="both"/>
        <w:rPr>
          <w:rFonts w:hint="eastAsia" w:ascii="仿宋_GB2312" w:hAnsi="Times New Roman" w:eastAsia="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通过系统性制度完善与平台升级，全面推进信息化治理体系现代化建设。在数据管理领域，修订并发布《浙江工商大学信息系统数据管理办法》，同步优化数据治理平台功能模块，着力构建规范高效的数据全生命周期管理体系。在项目管理层面，出台新版《浙江工商大学信息化项目建设管理办法》，从立项审批、过程监督到验收评估形成闭环管理机制，有效提升项目建设质量与效益产出，为学校数字化建设奠定制度基础。为筑牢网络安全防线，学校重点强化责任体系建设，通过《浙江工商大学网络与信息系统安全管理办法》的修订实施，明确网络安全责任制度。同时面向校园服务场景发布《浙江工商大学校园一卡通管理办法》，通过统一技术标准和服务规范，实现跨部门业务协同与资源整合。</w:t>
      </w:r>
    </w:p>
    <w:p>
      <w:pPr>
        <w:spacing w:line="560" w:lineRule="exact"/>
        <w:ind w:firstLine="641"/>
        <w:jc w:val="both"/>
        <w:rPr>
          <w:rFonts w:hint="eastAsia" w:ascii="楷体_GB2312" w:hAnsi="楷体_GB2312" w:eastAsia="楷体_GB2312" w:cs="楷体_GB2312"/>
          <w:b/>
          <w:bCs/>
          <w:color w:val="000000" w:themeColor="text1"/>
          <w:sz w:val="32"/>
          <w:szCs w:val="32"/>
          <w:shd w:val="clear" w:color="auto" w:fill="FFFFFF"/>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shd w:val="clear" w:color="auto" w:fill="FFFFFF"/>
          <w:lang w:val="en-US" w:eastAsia="zh-CN"/>
          <w14:textFill>
            <w14:solidFill>
              <w14:schemeClr w14:val="tx1"/>
            </w14:solidFill>
          </w14:textFill>
        </w:rPr>
        <w:t>（四）数据工程建设</w:t>
      </w:r>
    </w:p>
    <w:p>
      <w:pPr>
        <w:spacing w:line="560" w:lineRule="exact"/>
        <w:ind w:firstLine="641"/>
        <w:jc w:val="both"/>
        <w:rPr>
          <w:rFonts w:hint="eastAsia" w:ascii="仿宋_GB2312" w:hAnsi="Times New Roman" w:eastAsia="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本年度学校持续推进数据工程建设，通过系统化数据管理有效提升校园信息化水平。在数据归集方面，新建教学项目、教材著作、境外交流学生等51张多维数据表，累计覆盖735个数据项并汇聚超过214万条数据资源，成功填补学科系统、人事系统、学工学生一体化平台等14个业务部门的重点平台数据缺口，为宿费催缴、校友服务、智安校园等关键业务提供完整数据支撑。数据共享体系实现跨部门高效协同，公共数据平台已对接22个学院及部门的51个应用系统，累计开放496个数据接口共享141张数据表，完成63万余次调用服务，共享数据总量达2.9亿条；其中本年新增157个接口，完成2820万条数据交换，支持超过63万次实时调用需求。同步强化数据质量管控，建立371项数据质检规则，联合教务处等业务部门深度治理2万条问题数据，通过标准化清洗流程持续提升数据准确性与一致性，为学校数字化建设筑牢数据基石。</w:t>
      </w:r>
    </w:p>
    <w:p>
      <w:pPr>
        <w:spacing w:line="560" w:lineRule="exact"/>
        <w:ind w:firstLine="641"/>
        <w:jc w:val="both"/>
        <w:rPr>
          <w:rFonts w:hint="default" w:ascii="楷体_GB2312" w:hAnsi="楷体_GB2312" w:eastAsia="楷体_GB2312" w:cs="楷体_GB2312"/>
          <w:b/>
          <w:bCs/>
          <w:sz w:val="32"/>
          <w:szCs w:val="32"/>
          <w:shd w:val="clear" w:color="auto" w:fill="FFFFFF"/>
          <w:lang w:val="en-US" w:eastAsia="zh-CN"/>
        </w:rPr>
      </w:pPr>
      <w:r>
        <w:rPr>
          <w:rFonts w:hint="eastAsia" w:ascii="楷体_GB2312" w:hAnsi="楷体_GB2312" w:eastAsia="楷体_GB2312" w:cs="楷体_GB2312"/>
          <w:b/>
          <w:bCs/>
          <w:sz w:val="32"/>
          <w:szCs w:val="32"/>
          <w:shd w:val="clear" w:color="auto" w:fill="FFFFFF"/>
        </w:rPr>
        <w:t>（</w:t>
      </w:r>
      <w:r>
        <w:rPr>
          <w:rFonts w:hint="eastAsia" w:ascii="楷体_GB2312" w:hAnsi="楷体_GB2312" w:eastAsia="楷体_GB2312" w:cs="楷体_GB2312"/>
          <w:b/>
          <w:bCs/>
          <w:sz w:val="32"/>
          <w:szCs w:val="32"/>
          <w:shd w:val="clear" w:color="auto" w:fill="FFFFFF"/>
          <w:lang w:val="en-US" w:eastAsia="zh-CN"/>
        </w:rPr>
        <w:t>五</w:t>
      </w:r>
      <w:r>
        <w:rPr>
          <w:rFonts w:hint="eastAsia" w:ascii="楷体_GB2312" w:hAnsi="楷体_GB2312" w:eastAsia="楷体_GB2312" w:cs="楷体_GB2312"/>
          <w:b/>
          <w:bCs/>
          <w:sz w:val="32"/>
          <w:szCs w:val="32"/>
          <w:shd w:val="clear" w:color="auto" w:fill="FFFFFF"/>
        </w:rPr>
        <w:t>）</w:t>
      </w:r>
      <w:r>
        <w:rPr>
          <w:rFonts w:hint="eastAsia" w:ascii="楷体_GB2312" w:hAnsi="楷体_GB2312" w:eastAsia="楷体_GB2312" w:cs="楷体_GB2312"/>
          <w:b/>
          <w:bCs/>
          <w:sz w:val="32"/>
          <w:szCs w:val="32"/>
          <w:shd w:val="clear" w:color="auto" w:fill="FFFFFF"/>
          <w:lang w:val="en-US" w:eastAsia="zh-CN"/>
        </w:rPr>
        <w:t>创新应用自研</w:t>
      </w:r>
    </w:p>
    <w:p>
      <w:pPr>
        <w:spacing w:line="560" w:lineRule="exact"/>
        <w:ind w:firstLine="641"/>
        <w:jc w:val="both"/>
        <w:rPr>
          <w:rFonts w:hint="eastAsia" w:ascii="仿宋_GB2312" w:hAnsi="Times New Roman" w:eastAsia="仿宋_GB2312"/>
          <w:color w:val="FF0000"/>
          <w:sz w:val="32"/>
          <w:szCs w:val="32"/>
          <w:lang w:val="en-US" w:eastAsia="zh-CN"/>
        </w:rPr>
      </w:pPr>
      <w:r>
        <w:rPr>
          <w:rFonts w:hint="eastAsia" w:ascii="仿宋_GB2312" w:hAnsi="Times New Roman" w:eastAsia="仿宋_GB2312"/>
          <w:sz w:val="32"/>
          <w:szCs w:val="32"/>
          <w:lang w:val="en-US" w:eastAsia="zh-CN"/>
        </w:rPr>
        <w:t>2024年度通过自主研发为工会、计划财务处、后勤服务中心、人事处等部门学院研发系统、应用及流程30个，包括健康医院体检、教工路值班安排、端午节福利选择、乐行校园、拍卡签到、教师个人数字空间、跨学科数据共享、导学沟通、开发学宿费催缴系统、商大百事通、终身学伴、AI马克思、法律咨询智能问答、事件中心（事件的注册、业务系统功能注册和功能的编排等）、数字金点子、财务经费立项、中层人员因私出国（境）、专项工作任务、二级岗位聘岗、三级岗位聘岗、印章刻制申请、系统上线一件事、跨学科数据申请、安全通报、网站（系统）备案、自助证明、部门邮箱、议题申报等。完成自研项目升级2项，分别为干事对账系统升级15次和综合考核系统升级16次。</w:t>
      </w:r>
    </w:p>
    <w:p>
      <w:pPr>
        <w:spacing w:line="560" w:lineRule="exact"/>
        <w:ind w:firstLine="641"/>
        <w:jc w:val="both"/>
        <w:rPr>
          <w:rFonts w:hint="eastAsia" w:ascii="楷体_GB2312" w:hAnsi="楷体_GB2312" w:eastAsia="楷体_GB2312" w:cs="楷体_GB2312"/>
          <w:b/>
          <w:bCs/>
          <w:sz w:val="32"/>
          <w:szCs w:val="32"/>
          <w:shd w:val="clear" w:color="auto" w:fill="FFFFFF"/>
        </w:rPr>
      </w:pPr>
      <w:r>
        <w:rPr>
          <w:rFonts w:hint="eastAsia" w:ascii="楷体_GB2312" w:hAnsi="楷体_GB2312" w:eastAsia="楷体_GB2312" w:cs="楷体_GB2312"/>
          <w:b/>
          <w:bCs/>
          <w:sz w:val="32"/>
          <w:szCs w:val="32"/>
          <w:shd w:val="clear" w:color="auto" w:fill="FFFFFF"/>
        </w:rPr>
        <w:t>（</w:t>
      </w:r>
      <w:r>
        <w:rPr>
          <w:rFonts w:hint="eastAsia" w:ascii="楷体_GB2312" w:hAnsi="楷体_GB2312" w:eastAsia="楷体_GB2312" w:cs="楷体_GB2312"/>
          <w:b/>
          <w:bCs/>
          <w:sz w:val="32"/>
          <w:szCs w:val="32"/>
          <w:shd w:val="clear" w:color="auto" w:fill="FFFFFF"/>
          <w:lang w:val="en-US" w:eastAsia="zh-CN"/>
        </w:rPr>
        <w:t>六</w:t>
      </w:r>
      <w:r>
        <w:rPr>
          <w:rFonts w:hint="eastAsia" w:ascii="楷体_GB2312" w:hAnsi="楷体_GB2312" w:eastAsia="楷体_GB2312" w:cs="楷体_GB2312"/>
          <w:b/>
          <w:bCs/>
          <w:sz w:val="32"/>
          <w:szCs w:val="32"/>
          <w:shd w:val="clear" w:color="auto" w:fill="FFFFFF"/>
        </w:rPr>
        <w:t>）数字化校园基础设施建设</w:t>
      </w:r>
    </w:p>
    <w:p>
      <w:pPr>
        <w:spacing w:line="560" w:lineRule="exact"/>
        <w:ind w:firstLine="641"/>
        <w:jc w:val="both"/>
        <w:rPr>
          <w:rFonts w:hint="eastAsia" w:ascii="仿宋_GB2312" w:hAnsi="Times New Roman" w:eastAsia="仿宋_GB2312"/>
          <w:b/>
          <w:bCs/>
          <w:sz w:val="32"/>
          <w:szCs w:val="32"/>
          <w:lang w:val="en-US" w:eastAsia="zh-CN"/>
        </w:rPr>
      </w:pPr>
      <w:r>
        <w:rPr>
          <w:rFonts w:hint="eastAsia" w:ascii="仿宋_GB2312" w:hAnsi="Times New Roman" w:eastAsia="仿宋_GB2312"/>
          <w:b/>
          <w:bCs/>
          <w:sz w:val="32"/>
          <w:szCs w:val="32"/>
          <w:lang w:val="en-US" w:eastAsia="zh-CN"/>
        </w:rPr>
        <w:t>1.学生无线使用体验提升</w:t>
      </w:r>
    </w:p>
    <w:p>
      <w:pPr>
        <w:spacing w:line="560" w:lineRule="exact"/>
        <w:ind w:firstLine="641"/>
        <w:jc w:val="both"/>
        <w:rPr>
          <w:rFonts w:hint="eastAsia" w:ascii="仿宋_GB2312" w:hAnsi="Times New Roman" w:eastAsia="仿宋_GB2312"/>
          <w:sz w:val="32"/>
          <w:szCs w:val="32"/>
          <w:lang w:val="en-US" w:eastAsia="zh-CN"/>
        </w:rPr>
      </w:pPr>
      <w:r>
        <w:rPr>
          <w:rFonts w:hint="eastAsia" w:ascii="仿宋_GB2312" w:hAnsi="Times New Roman" w:eastAsia="仿宋_GB2312"/>
          <w:sz w:val="32"/>
          <w:szCs w:val="32"/>
          <w:lang w:val="en-US" w:eastAsia="zh-CN"/>
        </w:rPr>
        <w:t>对教学区的无线网络、主干网络进一步升级，做到主干楼宇至核心出口全40G互联，搭建无线网络专网，利用不同的优化技术，进一步提升网络性能和效率。将生活区无线网络延伸至教学区，提高学生教学区无线网速2倍以上；下沙校区教学区无线网络覆盖，图书馆、教室等人员密集区更新并增补无线设备共计565个，升级为WiFi6覆盖，提升网络速率，满足学生高密度入网需求。</w:t>
      </w:r>
    </w:p>
    <w:p>
      <w:pPr>
        <w:spacing w:line="560" w:lineRule="exact"/>
        <w:ind w:firstLine="641"/>
        <w:jc w:val="both"/>
        <w:rPr>
          <w:rFonts w:hint="eastAsia" w:ascii="仿宋_GB2312" w:hAnsi="Times New Roman" w:eastAsia="仿宋_GB2312"/>
          <w:b/>
          <w:bCs/>
          <w:sz w:val="32"/>
          <w:szCs w:val="32"/>
          <w:lang w:val="en-US" w:eastAsia="zh-CN"/>
        </w:rPr>
      </w:pPr>
      <w:r>
        <w:rPr>
          <w:rFonts w:hint="eastAsia" w:ascii="仿宋_GB2312" w:hAnsi="Times New Roman" w:eastAsia="仿宋_GB2312"/>
          <w:b/>
          <w:bCs/>
          <w:sz w:val="32"/>
          <w:szCs w:val="32"/>
          <w:lang w:val="en-US" w:eastAsia="zh-CN"/>
        </w:rPr>
        <w:t>2.教工路校区网络改造</w:t>
      </w:r>
    </w:p>
    <w:p>
      <w:pPr>
        <w:spacing w:line="560" w:lineRule="exact"/>
        <w:ind w:firstLine="641"/>
        <w:jc w:val="both"/>
        <w:rPr>
          <w:rFonts w:hint="eastAsia" w:ascii="仿宋_GB2312" w:hAnsi="Times New Roman" w:eastAsia="仿宋_GB2312"/>
          <w:sz w:val="32"/>
          <w:szCs w:val="32"/>
          <w:lang w:val="en-US" w:eastAsia="zh-CN"/>
        </w:rPr>
      </w:pPr>
      <w:r>
        <w:rPr>
          <w:rFonts w:hint="eastAsia" w:ascii="仿宋_GB2312" w:hAnsi="Times New Roman" w:eastAsia="仿宋_GB2312"/>
          <w:sz w:val="32"/>
          <w:szCs w:val="32"/>
          <w:lang w:val="en-US" w:eastAsia="zh-CN"/>
        </w:rPr>
        <w:t>协调运营商投入资源，建设教工路校区学生宿舍宽带网络，确保与下沙宿舍网络实现统一的有线和无线一体化全光高速宽带标准。对310间教工路宿舍进行改造，新增1台OLT设备，安装310个万兆ONU，并实施17500米的光纤入户工程。同时，升级教工路校区网络骨干设备和汇聚线路，新敷设4路楼宇间光缆。在教工路校区1号行政楼、图书馆、教室、自习室等区域增补90个校园网无线设备。</w:t>
      </w:r>
    </w:p>
    <w:p>
      <w:pPr>
        <w:spacing w:line="560" w:lineRule="exact"/>
        <w:ind w:firstLine="641"/>
        <w:jc w:val="both"/>
        <w:rPr>
          <w:rFonts w:hint="eastAsia" w:ascii="仿宋_GB2312" w:hAnsi="Times New Roman" w:eastAsia="仿宋_GB2312"/>
          <w:b/>
          <w:bCs/>
          <w:sz w:val="32"/>
          <w:szCs w:val="32"/>
          <w:lang w:val="en-US" w:eastAsia="zh-CN"/>
        </w:rPr>
      </w:pPr>
      <w:r>
        <w:rPr>
          <w:rFonts w:hint="eastAsia" w:ascii="仿宋_GB2312" w:hAnsi="Times New Roman" w:eastAsia="仿宋_GB2312"/>
          <w:b/>
          <w:bCs/>
          <w:sz w:val="32"/>
          <w:szCs w:val="32"/>
          <w:lang w:val="en-US" w:eastAsia="zh-CN"/>
        </w:rPr>
        <w:t>3.校外访问内网资源优化</w:t>
      </w:r>
    </w:p>
    <w:p>
      <w:pPr>
        <w:spacing w:after="100"/>
        <w:ind w:firstLine="640" w:firstLineChars="200"/>
        <w:jc w:val="both"/>
        <w:rPr>
          <w:rFonts w:hint="eastAsia" w:ascii="仿宋_GB2312" w:hAnsi="仿宋_GB2312" w:eastAsia="仿宋_GB2312" w:cs="仿宋_GB2312"/>
          <w:b/>
          <w:bCs/>
          <w:sz w:val="24"/>
          <w:lang w:val="en-US" w:eastAsia="zh-CN"/>
        </w:rPr>
      </w:pPr>
      <w:r>
        <w:rPr>
          <w:rFonts w:hint="eastAsia" w:ascii="仿宋_GB2312" w:hAnsi="Times New Roman" w:eastAsia="仿宋_GB2312"/>
          <w:sz w:val="32"/>
          <w:szCs w:val="32"/>
          <w:lang w:val="en-US" w:eastAsia="zh-CN"/>
        </w:rPr>
        <w:t>学生宿舍图书馆资源加速对接，与运营商协商完成局端IP地址改造，实现学生可在宿舍无需再使用VPN，直接访问图书馆资源，极大提升学生学习科研效率；教工免客户端Webvpn上线，访问速度、稳定性均好于原有VPN，无需下载客户端、单次登录，极大简化操作流程。</w:t>
      </w:r>
    </w:p>
    <w:p>
      <w:pPr>
        <w:spacing w:line="560" w:lineRule="exact"/>
        <w:ind w:firstLine="641" w:firstLineChars="0"/>
        <w:rPr>
          <w:rFonts w:hint="eastAsia" w:ascii="黑体" w:hAnsi="黑体" w:eastAsia="黑体" w:cs="黑体"/>
          <w:b w:val="0"/>
          <w:bCs/>
          <w:sz w:val="32"/>
          <w:szCs w:val="32"/>
          <w:shd w:val="clear"/>
          <w:lang w:val="en-US" w:eastAsia="zh-CN"/>
        </w:rPr>
      </w:pPr>
      <w:r>
        <w:rPr>
          <w:rFonts w:hint="eastAsia" w:ascii="黑体" w:hAnsi="黑体" w:eastAsia="黑体" w:cs="黑体"/>
          <w:b w:val="0"/>
          <w:bCs/>
          <w:sz w:val="32"/>
          <w:szCs w:val="32"/>
          <w:shd w:val="clear"/>
          <w:lang w:val="en-US" w:eastAsia="zh-CN"/>
        </w:rPr>
        <w:t>二</w:t>
      </w:r>
      <w:r>
        <w:rPr>
          <w:rFonts w:hint="eastAsia" w:ascii="黑体" w:hAnsi="黑体" w:eastAsia="黑体" w:cs="黑体"/>
          <w:b w:val="0"/>
          <w:bCs/>
          <w:sz w:val="32"/>
          <w:szCs w:val="32"/>
          <w:shd w:val="clear"/>
        </w:rPr>
        <w:t>、202</w:t>
      </w:r>
      <w:r>
        <w:rPr>
          <w:rFonts w:hint="eastAsia" w:ascii="黑体" w:hAnsi="黑体" w:eastAsia="黑体" w:cs="黑体"/>
          <w:b w:val="0"/>
          <w:bCs/>
          <w:sz w:val="32"/>
          <w:szCs w:val="32"/>
          <w:shd w:val="clear"/>
          <w:lang w:val="en-US" w:eastAsia="zh-CN"/>
        </w:rPr>
        <w:t>4</w:t>
      </w:r>
      <w:r>
        <w:rPr>
          <w:rFonts w:hint="eastAsia" w:ascii="黑体" w:hAnsi="黑体" w:eastAsia="黑体" w:cs="黑体"/>
          <w:b w:val="0"/>
          <w:bCs/>
          <w:sz w:val="32"/>
          <w:szCs w:val="32"/>
          <w:shd w:val="clear"/>
        </w:rPr>
        <w:t>年度</w:t>
      </w:r>
      <w:r>
        <w:rPr>
          <w:rFonts w:hint="eastAsia" w:ascii="黑体" w:hAnsi="黑体" w:eastAsia="黑体" w:cs="黑体"/>
          <w:b w:val="0"/>
          <w:bCs/>
          <w:sz w:val="32"/>
          <w:szCs w:val="32"/>
          <w:shd w:val="clear"/>
          <w:lang w:val="en-US" w:eastAsia="zh-CN"/>
        </w:rPr>
        <w:t>信息化项目立项情况</w:t>
      </w:r>
    </w:p>
    <w:tbl>
      <w:tblPr>
        <w:tblStyle w:val="9"/>
        <w:tblW w:w="914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32"/>
        <w:gridCol w:w="2231"/>
        <w:gridCol w:w="3601"/>
        <w:gridCol w:w="1339"/>
        <w:gridCol w:w="11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42"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jc w:val="center"/>
              <w:textAlignment w:val="auto"/>
              <w:rPr>
                <w:rFonts w:hint="eastAsia" w:ascii="仿宋_GB2312" w:hAnsi="仿宋_GB2312" w:eastAsia="仿宋_GB2312" w:cs="仿宋_GB2312"/>
                <w:b/>
                <w:bCs/>
                <w:sz w:val="24"/>
              </w:rPr>
            </w:pPr>
            <w:r>
              <w:rPr>
                <w:rFonts w:hint="eastAsia" w:ascii="仿宋_GB2312" w:hAnsi="仿宋_GB2312" w:eastAsia="仿宋_GB2312" w:cs="仿宋_GB2312"/>
                <w:b/>
                <w:bCs/>
                <w:sz w:val="24"/>
                <w:lang w:val="en-US" w:eastAsia="zh-CN"/>
              </w:rPr>
              <w:t>序号</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jc w:val="center"/>
              <w:textAlignment w:val="auto"/>
              <w:rPr>
                <w:rFonts w:hint="eastAsia" w:ascii="仿宋_GB2312" w:hAnsi="仿宋_GB2312" w:eastAsia="仿宋_GB2312" w:cs="仿宋_GB2312"/>
                <w:b/>
                <w:bCs/>
                <w:sz w:val="24"/>
              </w:rPr>
            </w:pPr>
            <w:r>
              <w:rPr>
                <w:rFonts w:hint="eastAsia" w:ascii="仿宋_GB2312" w:hAnsi="仿宋_GB2312" w:eastAsia="仿宋_GB2312" w:cs="仿宋_GB2312"/>
                <w:b/>
                <w:bCs/>
                <w:sz w:val="24"/>
                <w:lang w:val="en-US" w:eastAsia="zh-CN"/>
              </w:rPr>
              <w:t>部门</w:t>
            </w:r>
          </w:p>
        </w:tc>
        <w:tc>
          <w:tcPr>
            <w:tcW w:w="3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jc w:val="center"/>
              <w:textAlignment w:val="auto"/>
              <w:rPr>
                <w:rFonts w:hint="eastAsia" w:ascii="仿宋_GB2312" w:hAnsi="仿宋_GB2312" w:eastAsia="仿宋_GB2312" w:cs="仿宋_GB2312"/>
                <w:b/>
                <w:bCs/>
                <w:sz w:val="24"/>
              </w:rPr>
            </w:pPr>
            <w:r>
              <w:rPr>
                <w:rFonts w:hint="eastAsia" w:ascii="仿宋_GB2312" w:hAnsi="仿宋_GB2312" w:eastAsia="仿宋_GB2312" w:cs="仿宋_GB2312"/>
                <w:b/>
                <w:bCs/>
                <w:sz w:val="24"/>
                <w:lang w:val="en-US" w:eastAsia="zh-CN"/>
              </w:rPr>
              <w:t>项目名称</w:t>
            </w:r>
          </w:p>
        </w:tc>
        <w:tc>
          <w:tcPr>
            <w:tcW w:w="1339"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jc w:val="both"/>
              <w:textAlignment w:val="auto"/>
              <w:rPr>
                <w:rFonts w:hint="eastAsia" w:ascii="仿宋_GB2312" w:hAnsi="仿宋_GB2312" w:eastAsia="仿宋_GB2312" w:cs="仿宋_GB2312"/>
                <w:b/>
                <w:bCs/>
                <w:sz w:val="24"/>
                <w:lang w:val="en-US" w:eastAsia="zh-CN"/>
              </w:rPr>
            </w:pPr>
            <w:r>
              <w:rPr>
                <w:rFonts w:hint="eastAsia" w:ascii="仿宋_GB2312" w:hAnsi="仿宋_GB2312" w:eastAsia="仿宋_GB2312" w:cs="仿宋_GB2312"/>
                <w:b/>
                <w:bCs/>
                <w:sz w:val="24"/>
                <w:lang w:val="en-US" w:eastAsia="zh-CN"/>
              </w:rPr>
              <w:t>立项金额</w:t>
            </w:r>
          </w:p>
          <w:p>
            <w:pPr>
              <w:keepNext w:val="0"/>
              <w:keepLines w:val="0"/>
              <w:pageBreakBefore w:val="0"/>
              <w:widowControl w:val="0"/>
              <w:kinsoku/>
              <w:wordWrap/>
              <w:overflowPunct/>
              <w:topLinePunct w:val="0"/>
              <w:autoSpaceDE/>
              <w:autoSpaceDN/>
              <w:bidi w:val="0"/>
              <w:adjustRightInd/>
              <w:snapToGrid/>
              <w:spacing w:line="240" w:lineRule="exact"/>
              <w:ind w:firstLine="0"/>
              <w:jc w:val="both"/>
              <w:textAlignment w:val="auto"/>
              <w:rPr>
                <w:rFonts w:hint="eastAsia" w:ascii="仿宋_GB2312" w:hAnsi="仿宋_GB2312" w:eastAsia="仿宋_GB2312" w:cs="仿宋_GB2312"/>
                <w:b/>
                <w:bCs/>
                <w:sz w:val="24"/>
              </w:rPr>
            </w:pPr>
            <w:r>
              <w:rPr>
                <w:rFonts w:hint="eastAsia" w:ascii="仿宋_GB2312" w:hAnsi="仿宋_GB2312" w:eastAsia="仿宋_GB2312" w:cs="仿宋_GB2312"/>
                <w:b/>
                <w:bCs/>
                <w:sz w:val="24"/>
                <w:lang w:val="en-US" w:eastAsia="zh-CN"/>
              </w:rPr>
              <w:t>（万元）</w:t>
            </w:r>
          </w:p>
        </w:tc>
        <w:tc>
          <w:tcPr>
            <w:tcW w:w="11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jc w:val="both"/>
              <w:textAlignment w:val="auto"/>
              <w:rPr>
                <w:rFonts w:hint="eastAsia" w:ascii="仿宋_GB2312" w:hAnsi="仿宋_GB2312" w:eastAsia="仿宋_GB2312" w:cs="仿宋_GB2312"/>
                <w:b/>
                <w:bCs/>
                <w:sz w:val="24"/>
                <w:lang w:val="en-US" w:eastAsia="zh-CN"/>
              </w:rPr>
            </w:pPr>
            <w:r>
              <w:rPr>
                <w:rFonts w:hint="eastAsia" w:ascii="仿宋_GB2312" w:hAnsi="仿宋_GB2312" w:eastAsia="仿宋_GB2312" w:cs="仿宋_GB2312"/>
                <w:b/>
                <w:bCs/>
                <w:sz w:val="24"/>
                <w:lang w:val="en-US" w:eastAsia="zh-CN"/>
              </w:rPr>
              <w:t>当前</w:t>
            </w:r>
          </w:p>
          <w:p>
            <w:pPr>
              <w:keepNext w:val="0"/>
              <w:keepLines w:val="0"/>
              <w:pageBreakBefore w:val="0"/>
              <w:widowControl w:val="0"/>
              <w:kinsoku/>
              <w:wordWrap/>
              <w:overflowPunct/>
              <w:topLinePunct w:val="0"/>
              <w:autoSpaceDE/>
              <w:autoSpaceDN/>
              <w:bidi w:val="0"/>
              <w:adjustRightInd/>
              <w:snapToGrid/>
              <w:spacing w:line="240" w:lineRule="exact"/>
              <w:ind w:firstLine="0"/>
              <w:jc w:val="both"/>
              <w:textAlignment w:val="auto"/>
              <w:rPr>
                <w:rFonts w:hint="eastAsia" w:ascii="仿宋_GB2312" w:hAnsi="仿宋_GB2312" w:eastAsia="仿宋_GB2312" w:cs="仿宋_GB2312"/>
                <w:b/>
                <w:bCs/>
                <w:sz w:val="24"/>
              </w:rPr>
            </w:pPr>
            <w:r>
              <w:rPr>
                <w:rFonts w:hint="eastAsia" w:ascii="仿宋_GB2312" w:hAnsi="仿宋_GB2312" w:eastAsia="仿宋_GB2312" w:cs="仿宋_GB2312"/>
                <w:b/>
                <w:bCs/>
                <w:sz w:val="24"/>
                <w:lang w:val="en-US" w:eastAsia="zh-CN"/>
              </w:rPr>
              <w:t>节点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档案馆、校史馆</w:t>
            </w:r>
          </w:p>
        </w:tc>
        <w:tc>
          <w:tcPr>
            <w:tcW w:w="3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网上数字校史馆建设</w:t>
            </w:r>
          </w:p>
        </w:tc>
        <w:tc>
          <w:tcPr>
            <w:tcW w:w="1339"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13</w:t>
            </w:r>
          </w:p>
        </w:tc>
        <w:tc>
          <w:tcPr>
            <w:tcW w:w="11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建设中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校办公室</w:t>
            </w:r>
          </w:p>
          <w:p>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（法律事务室）</w:t>
            </w:r>
          </w:p>
        </w:tc>
        <w:tc>
          <w:tcPr>
            <w:tcW w:w="3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合同管理信息系统</w:t>
            </w:r>
          </w:p>
        </w:tc>
        <w:tc>
          <w:tcPr>
            <w:tcW w:w="1339"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49.56</w:t>
            </w:r>
          </w:p>
        </w:tc>
        <w:tc>
          <w:tcPr>
            <w:tcW w:w="11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建设中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3</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心理健康中心</w:t>
            </w:r>
          </w:p>
        </w:tc>
        <w:tc>
          <w:tcPr>
            <w:tcW w:w="3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心理服务平台</w:t>
            </w:r>
          </w:p>
        </w:tc>
        <w:tc>
          <w:tcPr>
            <w:tcW w:w="1339"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45</w:t>
            </w:r>
          </w:p>
        </w:tc>
        <w:tc>
          <w:tcPr>
            <w:tcW w:w="11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建设中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4</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招生与就业指导处</w:t>
            </w:r>
          </w:p>
        </w:tc>
        <w:tc>
          <w:tcPr>
            <w:tcW w:w="3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本科招生宣传管理系统</w:t>
            </w:r>
          </w:p>
        </w:tc>
        <w:tc>
          <w:tcPr>
            <w:tcW w:w="1339"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8</w:t>
            </w:r>
          </w:p>
        </w:tc>
        <w:tc>
          <w:tcPr>
            <w:tcW w:w="11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建设中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5</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资产处</w:t>
            </w:r>
          </w:p>
        </w:tc>
        <w:tc>
          <w:tcPr>
            <w:tcW w:w="3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资产一体化综合管理平台</w:t>
            </w:r>
          </w:p>
        </w:tc>
        <w:tc>
          <w:tcPr>
            <w:tcW w:w="1339"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55</w:t>
            </w:r>
          </w:p>
        </w:tc>
        <w:tc>
          <w:tcPr>
            <w:tcW w:w="11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建设中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6</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计财处</w:t>
            </w:r>
          </w:p>
        </w:tc>
        <w:tc>
          <w:tcPr>
            <w:tcW w:w="3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智慧采购信息化管理平台</w:t>
            </w:r>
          </w:p>
        </w:tc>
        <w:tc>
          <w:tcPr>
            <w:tcW w:w="1339"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40</w:t>
            </w:r>
          </w:p>
        </w:tc>
        <w:tc>
          <w:tcPr>
            <w:tcW w:w="11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建设中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7</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计财处</w:t>
            </w:r>
          </w:p>
        </w:tc>
        <w:tc>
          <w:tcPr>
            <w:tcW w:w="3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智能财务系统升级</w:t>
            </w:r>
          </w:p>
        </w:tc>
        <w:tc>
          <w:tcPr>
            <w:tcW w:w="1339"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128</w:t>
            </w:r>
          </w:p>
        </w:tc>
        <w:tc>
          <w:tcPr>
            <w:tcW w:w="11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建设中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8</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后勤服务中心</w:t>
            </w:r>
          </w:p>
        </w:tc>
        <w:tc>
          <w:tcPr>
            <w:tcW w:w="3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智慧后勤一体化服务平台</w:t>
            </w:r>
          </w:p>
        </w:tc>
        <w:tc>
          <w:tcPr>
            <w:tcW w:w="1339"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50</w:t>
            </w:r>
          </w:p>
        </w:tc>
        <w:tc>
          <w:tcPr>
            <w:tcW w:w="11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建设中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9</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保卫处</w:t>
            </w:r>
          </w:p>
        </w:tc>
        <w:tc>
          <w:tcPr>
            <w:tcW w:w="3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“智安校园”项目</w:t>
            </w:r>
          </w:p>
        </w:tc>
        <w:tc>
          <w:tcPr>
            <w:tcW w:w="1339"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138.5</w:t>
            </w:r>
          </w:p>
        </w:tc>
        <w:tc>
          <w:tcPr>
            <w:tcW w:w="11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建设中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10</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审计处</w:t>
            </w:r>
          </w:p>
        </w:tc>
        <w:tc>
          <w:tcPr>
            <w:tcW w:w="3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智慧审计平台</w:t>
            </w:r>
          </w:p>
        </w:tc>
        <w:tc>
          <w:tcPr>
            <w:tcW w:w="1339"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50</w:t>
            </w:r>
          </w:p>
        </w:tc>
        <w:tc>
          <w:tcPr>
            <w:tcW w:w="11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建设中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11</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计财处</w:t>
            </w:r>
          </w:p>
        </w:tc>
        <w:tc>
          <w:tcPr>
            <w:tcW w:w="3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科研财务智能作业项目</w:t>
            </w:r>
          </w:p>
        </w:tc>
        <w:tc>
          <w:tcPr>
            <w:tcW w:w="1339"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153.5</w:t>
            </w:r>
          </w:p>
        </w:tc>
        <w:tc>
          <w:tcPr>
            <w:tcW w:w="11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建设中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12</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资产处</w:t>
            </w:r>
          </w:p>
        </w:tc>
        <w:tc>
          <w:tcPr>
            <w:tcW w:w="3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公共资源智能监测平台</w:t>
            </w:r>
          </w:p>
        </w:tc>
        <w:tc>
          <w:tcPr>
            <w:tcW w:w="1339"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60</w:t>
            </w:r>
          </w:p>
        </w:tc>
        <w:tc>
          <w:tcPr>
            <w:tcW w:w="11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建设中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13</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公管处（校医院）</w:t>
            </w:r>
          </w:p>
        </w:tc>
        <w:tc>
          <w:tcPr>
            <w:tcW w:w="3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医疗事务报销模块</w:t>
            </w:r>
          </w:p>
        </w:tc>
        <w:tc>
          <w:tcPr>
            <w:tcW w:w="1339"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5</w:t>
            </w:r>
          </w:p>
        </w:tc>
        <w:tc>
          <w:tcPr>
            <w:tcW w:w="11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建设中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14</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社科部、科技部</w:t>
            </w:r>
          </w:p>
        </w:tc>
        <w:tc>
          <w:tcPr>
            <w:tcW w:w="3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学者中外文论文自助认领系统</w:t>
            </w:r>
          </w:p>
        </w:tc>
        <w:tc>
          <w:tcPr>
            <w:tcW w:w="1339"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9</w:t>
            </w:r>
          </w:p>
        </w:tc>
        <w:tc>
          <w:tcPr>
            <w:tcW w:w="11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建设中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15</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社会科学部</w:t>
            </w:r>
          </w:p>
        </w:tc>
        <w:tc>
          <w:tcPr>
            <w:tcW w:w="3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智库编辑部投稿系统</w:t>
            </w:r>
          </w:p>
        </w:tc>
        <w:tc>
          <w:tcPr>
            <w:tcW w:w="1339"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16</w:t>
            </w:r>
          </w:p>
        </w:tc>
        <w:tc>
          <w:tcPr>
            <w:tcW w:w="11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建设中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16</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信电学院</w:t>
            </w:r>
          </w:p>
        </w:tc>
        <w:tc>
          <w:tcPr>
            <w:tcW w:w="3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人工智能科研创新服务平台</w:t>
            </w:r>
          </w:p>
        </w:tc>
        <w:tc>
          <w:tcPr>
            <w:tcW w:w="1339"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80</w:t>
            </w:r>
          </w:p>
        </w:tc>
        <w:tc>
          <w:tcPr>
            <w:tcW w:w="11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建设中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17</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数字办</w:t>
            </w:r>
          </w:p>
        </w:tc>
        <w:tc>
          <w:tcPr>
            <w:tcW w:w="3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信息化项目管理平台</w:t>
            </w:r>
          </w:p>
        </w:tc>
        <w:tc>
          <w:tcPr>
            <w:tcW w:w="1339"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30</w:t>
            </w:r>
          </w:p>
        </w:tc>
        <w:tc>
          <w:tcPr>
            <w:tcW w:w="11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建设中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18</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数字办</w:t>
            </w:r>
          </w:p>
        </w:tc>
        <w:tc>
          <w:tcPr>
            <w:tcW w:w="3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智能报修服务平台</w:t>
            </w:r>
          </w:p>
        </w:tc>
        <w:tc>
          <w:tcPr>
            <w:tcW w:w="1339"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30</w:t>
            </w:r>
          </w:p>
        </w:tc>
        <w:tc>
          <w:tcPr>
            <w:tcW w:w="11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建设中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19</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数字办</w:t>
            </w:r>
          </w:p>
        </w:tc>
        <w:tc>
          <w:tcPr>
            <w:tcW w:w="3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孪生校园（一期）</w:t>
            </w:r>
          </w:p>
        </w:tc>
        <w:tc>
          <w:tcPr>
            <w:tcW w:w="1339"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20</w:t>
            </w:r>
          </w:p>
        </w:tc>
        <w:tc>
          <w:tcPr>
            <w:tcW w:w="11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建设中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20</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数字办</w:t>
            </w:r>
          </w:p>
        </w:tc>
        <w:tc>
          <w:tcPr>
            <w:tcW w:w="3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新一代网络认证平台</w:t>
            </w:r>
          </w:p>
        </w:tc>
        <w:tc>
          <w:tcPr>
            <w:tcW w:w="1339"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21</w:t>
            </w:r>
          </w:p>
        </w:tc>
        <w:tc>
          <w:tcPr>
            <w:tcW w:w="11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建设中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66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合计</w:t>
            </w:r>
          </w:p>
        </w:tc>
        <w:tc>
          <w:tcPr>
            <w:tcW w:w="1339"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1001.56</w:t>
            </w:r>
          </w:p>
        </w:tc>
        <w:tc>
          <w:tcPr>
            <w:tcW w:w="11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仿宋_GB2312" w:hAnsi="仿宋_GB2312" w:eastAsia="仿宋_GB2312" w:cs="仿宋_GB2312"/>
                <w:sz w:val="24"/>
                <w:lang w:val="en-US" w:eastAsia="zh-CN"/>
              </w:rPr>
            </w:pPr>
          </w:p>
        </w:tc>
      </w:tr>
    </w:tbl>
    <w:p/>
    <w:p>
      <w:pPr>
        <w:keepNext w:val="0"/>
        <w:keepLines w:val="0"/>
        <w:pageBreakBefore w:val="0"/>
        <w:widowControl/>
        <w:kinsoku/>
        <w:wordWrap/>
        <w:overflowPunct/>
        <w:topLinePunct w:val="0"/>
        <w:autoSpaceDE/>
        <w:autoSpaceDN/>
        <w:bidi w:val="0"/>
        <w:adjustRightInd/>
        <w:spacing w:line="240" w:lineRule="auto"/>
        <w:jc w:val="left"/>
        <w:textAlignment w:val="auto"/>
        <w:rPr>
          <w:rFonts w:hint="eastAsia" w:ascii="方正小标宋简体" w:eastAsia="方正小标宋简体"/>
          <w:sz w:val="36"/>
          <w:szCs w:val="36"/>
        </w:rPr>
      </w:pPr>
      <w:r>
        <w:rPr>
          <w:rFonts w:hint="eastAsia" w:ascii="方正小标宋简体" w:eastAsia="方正小标宋简体"/>
          <w:sz w:val="36"/>
          <w:szCs w:val="36"/>
        </w:rPr>
        <w:br w:type="page"/>
      </w:r>
    </w:p>
    <w:p>
      <w:pPr>
        <w:keepNext w:val="0"/>
        <w:keepLines w:val="0"/>
        <w:pageBreakBefore w:val="0"/>
        <w:widowControl w:val="0"/>
        <w:kinsoku/>
        <w:wordWrap/>
        <w:overflowPunct/>
        <w:topLinePunct w:val="0"/>
        <w:autoSpaceDE/>
        <w:autoSpaceDN/>
        <w:bidi w:val="0"/>
        <w:adjustRightInd/>
        <w:spacing w:line="600" w:lineRule="exact"/>
        <w:ind w:firstLine="0"/>
        <w:jc w:val="center"/>
        <w:textAlignment w:val="auto"/>
        <w:rPr>
          <w:rFonts w:ascii="仿宋_GB2312" w:eastAsia="仿宋_GB2312"/>
          <w:sz w:val="32"/>
          <w:szCs w:val="32"/>
        </w:rPr>
      </w:pPr>
      <w:r>
        <w:rPr>
          <w:rFonts w:hint="eastAsia" w:ascii="方正小标宋简体" w:eastAsia="方正小标宋简体"/>
          <w:sz w:val="36"/>
          <w:szCs w:val="36"/>
        </w:rPr>
        <w:t>2024年</w:t>
      </w:r>
      <w:r>
        <w:rPr>
          <w:rFonts w:hint="eastAsia" w:ascii="方正小标宋简体" w:eastAsia="方正小标宋简体"/>
          <w:sz w:val="36"/>
          <w:szCs w:val="36"/>
          <w:lang w:val="en-US" w:eastAsia="zh-CN"/>
        </w:rPr>
        <w:t>选人用人</w:t>
      </w:r>
      <w:r>
        <w:rPr>
          <w:rFonts w:hint="eastAsia" w:ascii="方正小标宋简体" w:eastAsia="方正小标宋简体"/>
          <w:sz w:val="36"/>
          <w:szCs w:val="36"/>
        </w:rPr>
        <w:t>工作</w:t>
      </w:r>
      <w:r>
        <w:rPr>
          <w:rFonts w:hint="eastAsia" w:ascii="方正小标宋简体" w:eastAsia="方正小标宋简体"/>
          <w:sz w:val="36"/>
          <w:szCs w:val="36"/>
          <w:lang w:val="en-US" w:eastAsia="zh-CN"/>
        </w:rPr>
        <w:t>公开</w:t>
      </w:r>
      <w:r>
        <w:rPr>
          <w:rFonts w:hint="eastAsia" w:ascii="方正小标宋简体" w:eastAsia="方正小标宋简体"/>
          <w:sz w:val="36"/>
          <w:szCs w:val="36"/>
        </w:rPr>
        <w:t>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年，学校党委</w:t>
      </w:r>
      <w:r>
        <w:rPr>
          <w:rFonts w:hint="eastAsia" w:ascii="仿宋_GB2312" w:hAnsi="仿宋_GB2312" w:eastAsia="仿宋_GB2312" w:cs="仿宋_GB2312"/>
          <w:color w:val="auto"/>
          <w:sz w:val="32"/>
          <w:szCs w:val="32"/>
          <w:lang w:val="en-US" w:eastAsia="zh-CN"/>
        </w:rPr>
        <w:t>坚持以</w:t>
      </w:r>
      <w:r>
        <w:rPr>
          <w:rFonts w:hint="eastAsia" w:ascii="仿宋_GB2312" w:hAnsi="仿宋_GB2312" w:eastAsia="仿宋_GB2312" w:cs="仿宋_GB2312"/>
          <w:color w:val="auto"/>
          <w:sz w:val="32"/>
          <w:szCs w:val="32"/>
        </w:rPr>
        <w:t>习近平新时代中国特色社会主义思想</w:t>
      </w:r>
      <w:r>
        <w:rPr>
          <w:rFonts w:hint="eastAsia" w:ascii="仿宋_GB2312" w:hAnsi="仿宋_GB2312" w:eastAsia="仿宋_GB2312" w:cs="仿宋_GB2312"/>
          <w:color w:val="auto"/>
          <w:sz w:val="32"/>
          <w:szCs w:val="32"/>
          <w:lang w:val="en-US" w:eastAsia="zh-CN"/>
        </w:rPr>
        <w:t>为指引</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深入学习贯彻党的二十大和二十届二中、三中全会精神</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对标落实省委“三支队伍”建设要求，制定商大版“三支队伍”建设方案，精准把握“三看”“三破”“三到”干部选任原则</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严把干部“质量关”，坚持以“六干”精神锤炼干部担当本领，加强干部梯队优化和能力培养，落实以实绩实效考察干部要求，推动干部能上能下，推进干部队伍能力更加过硬、作风更加严实，推动形成“关键少数”发挥“关键作用”的良好局面。广大干部以过硬的政治素质、专业的履职能力、强烈的责任担当、时不我待的创业精神，全力保障高水平大学建设。</w:t>
      </w:r>
    </w:p>
    <w:p>
      <w:pPr>
        <w:keepNext w:val="0"/>
        <w:keepLines w:val="0"/>
        <w:pageBreakBefore w:val="0"/>
        <w:widowControl w:val="0"/>
        <w:kinsoku/>
        <w:wordWrap/>
        <w:overflowPunct/>
        <w:topLinePunct w:val="0"/>
        <w:autoSpaceDE/>
        <w:autoSpaceDN/>
        <w:bidi w:val="0"/>
        <w:adjustRightInd/>
        <w:snapToGrid w:val="0"/>
        <w:spacing w:before="157" w:beforeLines="50" w:line="560" w:lineRule="exact"/>
        <w:ind w:firstLine="643" w:firstLineChars="200"/>
        <w:jc w:val="both"/>
        <w:textAlignment w:val="auto"/>
        <w:rPr>
          <w:rFonts w:hint="eastAsia" w:ascii="仿宋_GB2312" w:hAnsi="仿宋_GB2312" w:eastAsia="仿宋_GB2312" w:cs="仿宋_GB2312"/>
          <w:b/>
          <w:bCs/>
          <w:color w:val="auto"/>
          <w:sz w:val="32"/>
          <w:szCs w:val="32"/>
          <w:highlight w:val="none"/>
        </w:rPr>
      </w:pPr>
      <w:r>
        <w:rPr>
          <w:rFonts w:hint="eastAsia" w:ascii="楷体_GB2312" w:hAnsi="楷体_GB2312" w:eastAsia="楷体_GB2312" w:cs="楷体_GB2312"/>
          <w:b/>
          <w:bCs/>
          <w:color w:val="auto"/>
          <w:sz w:val="32"/>
          <w:szCs w:val="32"/>
          <w:highlight w:val="none"/>
          <w:lang w:val="en-US" w:eastAsia="zh-CN"/>
        </w:rPr>
        <w:t>一、</w:t>
      </w:r>
      <w:r>
        <w:rPr>
          <w:rFonts w:hint="eastAsia" w:ascii="楷体_GB2312" w:hAnsi="楷体_GB2312" w:eastAsia="楷体_GB2312" w:cs="楷体_GB2312"/>
          <w:b/>
          <w:bCs/>
          <w:color w:val="auto"/>
          <w:sz w:val="32"/>
          <w:szCs w:val="32"/>
          <w:highlight w:val="none"/>
        </w:rPr>
        <w:t>坚持</w:t>
      </w:r>
      <w:r>
        <w:rPr>
          <w:rFonts w:hint="eastAsia" w:ascii="楷体_GB2312" w:hAnsi="楷体_GB2312" w:eastAsia="楷体_GB2312" w:cs="楷体_GB2312"/>
          <w:b/>
          <w:bCs/>
          <w:color w:val="auto"/>
          <w:sz w:val="32"/>
          <w:szCs w:val="32"/>
          <w:highlight w:val="none"/>
          <w:lang w:val="en-US" w:eastAsia="zh-CN"/>
        </w:rPr>
        <w:t>依事择人</w:t>
      </w:r>
      <w:r>
        <w:rPr>
          <w:rFonts w:hint="eastAsia" w:ascii="楷体_GB2312" w:hAnsi="楷体_GB2312" w:eastAsia="楷体_GB2312" w:cs="楷体_GB2312"/>
          <w:b/>
          <w:bCs/>
          <w:color w:val="auto"/>
          <w:sz w:val="32"/>
          <w:szCs w:val="32"/>
          <w:highlight w:val="none"/>
        </w:rPr>
        <w:t>公道正派，不断提高选人用人质量</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default" w:ascii="仿宋_GB2312" w:hAnsi="仿宋_GB2312" w:eastAsia="仿宋_GB2312" w:cs="仿宋_GB2312"/>
          <w:b w:val="0"/>
          <w:bCs w:val="0"/>
          <w:color w:val="0000FF"/>
          <w:sz w:val="32"/>
          <w:szCs w:val="32"/>
          <w:highlight w:val="none"/>
          <w:lang w:val="en-US" w:eastAsia="zh-CN"/>
        </w:rPr>
      </w:pPr>
      <w:r>
        <w:rPr>
          <w:rFonts w:hint="eastAsia" w:ascii="仿宋_GB2312" w:hAnsi="仿宋_GB2312" w:eastAsia="仿宋_GB2312" w:cs="仿宋_GB2312"/>
          <w:b/>
          <w:bCs/>
          <w:color w:val="auto"/>
          <w:sz w:val="32"/>
          <w:szCs w:val="32"/>
          <w:lang w:val="en-US" w:eastAsia="zh-CN"/>
        </w:rPr>
        <w:t>一是坚持党管干部原则。</w:t>
      </w:r>
      <w:r>
        <w:rPr>
          <w:rFonts w:hint="eastAsia" w:ascii="仿宋_GB2312" w:hAnsi="仿宋_GB2312" w:eastAsia="仿宋_GB2312" w:cs="仿宋_GB2312"/>
          <w:color w:val="auto"/>
          <w:sz w:val="32"/>
          <w:szCs w:val="32"/>
          <w:lang w:val="en-US" w:eastAsia="zh-CN"/>
        </w:rPr>
        <w:t>学校党委年度专题研究干部工作、分析研判队伍建设，着力破解二级领导班子和干部队伍建设中的重点难点问题。用好上一轮省委巡视整改成果，聚焦发挥制度长效，围绕全面增</w:t>
      </w:r>
      <w:r>
        <w:rPr>
          <w:rFonts w:hint="eastAsia" w:ascii="仿宋_GB2312" w:hAnsi="仿宋_GB2312" w:eastAsia="仿宋_GB2312" w:cs="仿宋_GB2312"/>
          <w:color w:val="auto"/>
          <w:sz w:val="32"/>
          <w:szCs w:val="32"/>
          <w:highlight w:val="none"/>
          <w:lang w:val="en-US" w:eastAsia="zh-CN"/>
        </w:rPr>
        <w:t>强</w:t>
      </w:r>
      <w:r>
        <w:rPr>
          <w:rFonts w:hint="eastAsia" w:ascii="仿宋_GB2312" w:eastAsia="仿宋_GB2312" w:cs="黑体"/>
          <w:color w:val="000000"/>
          <w:sz w:val="32"/>
          <w:szCs w:val="32"/>
          <w:highlight w:val="none"/>
        </w:rPr>
        <w:t>班子凝聚力、队伍战斗力、部门协同力、干部向心力</w:t>
      </w:r>
      <w:r>
        <w:rPr>
          <w:rFonts w:hint="eastAsia" w:ascii="仿宋_GB2312" w:eastAsia="仿宋_GB2312" w:cs="黑体"/>
          <w:color w:val="000000"/>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强化跟踪，严格落实，</w:t>
      </w:r>
      <w:r>
        <w:rPr>
          <w:rFonts w:hint="eastAsia" w:ascii="仿宋_GB2312" w:eastAsia="仿宋_GB2312" w:cs="仿宋_GB2312"/>
          <w:color w:val="000000"/>
          <w:sz w:val="32"/>
          <w:szCs w:val="32"/>
          <w:highlight w:val="none"/>
        </w:rPr>
        <w:t>推动巡视成果更好转化为工作效能。</w:t>
      </w:r>
      <w:r>
        <w:rPr>
          <w:rFonts w:hint="eastAsia" w:ascii="仿宋_GB2312" w:eastAsia="仿宋_GB2312" w:cs="黑体"/>
          <w:b/>
          <w:bCs w:val="0"/>
          <w:color w:val="000000"/>
          <w:sz w:val="32"/>
          <w:szCs w:val="32"/>
        </w:rPr>
        <w:t>二是落实党委选人用人主体责任</w:t>
      </w:r>
      <w:r>
        <w:rPr>
          <w:rFonts w:hint="eastAsia" w:ascii="仿宋_GB2312" w:eastAsia="仿宋_GB2312" w:cs="黑体"/>
          <w:b/>
          <w:bCs w:val="0"/>
          <w:color w:val="000000"/>
          <w:sz w:val="32"/>
          <w:szCs w:val="32"/>
          <w:lang w:eastAsia="zh-CN"/>
        </w:rPr>
        <w:t>。</w:t>
      </w:r>
      <w:r>
        <w:rPr>
          <w:rFonts w:hint="eastAsia" w:ascii="仿宋_GB2312" w:hAnsi="仿宋_GB2312" w:eastAsia="仿宋_GB2312" w:cs="仿宋_GB2312"/>
          <w:b w:val="0"/>
          <w:bCs w:val="0"/>
          <w:color w:val="auto"/>
          <w:sz w:val="32"/>
          <w:szCs w:val="32"/>
          <w:lang w:val="en-US" w:eastAsia="zh-CN"/>
        </w:rPr>
        <w:t>根据高水平大学及干部梯队建设需要，全年</w:t>
      </w:r>
      <w:r>
        <w:rPr>
          <w:rFonts w:hint="eastAsia" w:ascii="仿宋_GB2312" w:hAnsi="仿宋_GB2312" w:eastAsia="仿宋_GB2312" w:cs="仿宋_GB2312"/>
          <w:b w:val="0"/>
          <w:bCs w:val="0"/>
          <w:color w:val="auto"/>
          <w:sz w:val="32"/>
          <w:szCs w:val="32"/>
        </w:rPr>
        <w:t>提拔使用中层</w:t>
      </w:r>
      <w:r>
        <w:rPr>
          <w:rFonts w:hint="eastAsia" w:ascii="仿宋_GB2312" w:hAnsi="仿宋_GB2312" w:eastAsia="仿宋_GB2312" w:cs="仿宋_GB2312"/>
          <w:b w:val="0"/>
          <w:bCs w:val="0"/>
          <w:color w:val="auto"/>
          <w:sz w:val="32"/>
          <w:szCs w:val="32"/>
          <w:lang w:val="en-US" w:eastAsia="zh-CN"/>
        </w:rPr>
        <w:t>领导人员17</w:t>
      </w:r>
      <w:r>
        <w:rPr>
          <w:rFonts w:hint="eastAsia" w:ascii="仿宋_GB2312" w:hAnsi="仿宋_GB2312" w:eastAsia="仿宋_GB2312" w:cs="仿宋_GB2312"/>
          <w:b w:val="0"/>
          <w:bCs w:val="0"/>
          <w:color w:val="auto"/>
          <w:sz w:val="32"/>
          <w:szCs w:val="32"/>
        </w:rPr>
        <w:t>名</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面向海内外公开选聘3个中层领导岗位，激活“干部池”源头活水。</w:t>
      </w:r>
      <w:r>
        <w:rPr>
          <w:rFonts w:hint="eastAsia" w:ascii="仿宋_GB2312" w:hAnsi="仿宋_GB2312" w:eastAsia="仿宋_GB2312" w:cs="仿宋_GB2312"/>
          <w:b w:val="0"/>
          <w:bCs w:val="0"/>
          <w:color w:val="auto"/>
          <w:sz w:val="32"/>
          <w:szCs w:val="32"/>
        </w:rPr>
        <w:t>平级调整中层</w:t>
      </w:r>
      <w:r>
        <w:rPr>
          <w:rFonts w:hint="eastAsia" w:ascii="仿宋_GB2312" w:hAnsi="仿宋_GB2312" w:eastAsia="仿宋_GB2312" w:cs="仿宋_GB2312"/>
          <w:b w:val="0"/>
          <w:bCs w:val="0"/>
          <w:color w:val="auto"/>
          <w:sz w:val="32"/>
          <w:szCs w:val="32"/>
          <w:lang w:val="en-US" w:eastAsia="zh-CN"/>
        </w:rPr>
        <w:t>领导人员19</w:t>
      </w:r>
      <w:r>
        <w:rPr>
          <w:rFonts w:hint="eastAsia" w:ascii="仿宋_GB2312" w:hAnsi="仿宋_GB2312" w:eastAsia="仿宋_GB2312" w:cs="仿宋_GB2312"/>
          <w:b w:val="0"/>
          <w:bCs w:val="0"/>
          <w:color w:val="auto"/>
          <w:sz w:val="32"/>
          <w:szCs w:val="32"/>
        </w:rPr>
        <w:t>人次</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聘任管理五级职员2名、六级职员7名，干部结构更趋合理，干部队伍活力进一步增强。</w:t>
      </w:r>
      <w:r>
        <w:rPr>
          <w:rFonts w:hint="eastAsia" w:ascii="仿宋_GB2312" w:hAnsi="仿宋_GB2312" w:eastAsia="仿宋_GB2312" w:cs="仿宋_GB2312"/>
          <w:b/>
          <w:bCs/>
          <w:color w:val="auto"/>
          <w:sz w:val="32"/>
          <w:szCs w:val="32"/>
          <w:highlight w:val="none"/>
          <w:lang w:val="en-US" w:eastAsia="zh-CN"/>
        </w:rPr>
        <w:t>三是以考核推动干部担当作为。</w:t>
      </w:r>
      <w:r>
        <w:rPr>
          <w:rFonts w:hint="eastAsia" w:ascii="仿宋_GB2312" w:hAnsi="仿宋_GB2312" w:eastAsia="仿宋_GB2312" w:cs="仿宋_GB2312"/>
          <w:b w:val="0"/>
          <w:bCs w:val="0"/>
          <w:color w:val="auto"/>
          <w:kern w:val="2"/>
          <w:sz w:val="32"/>
          <w:szCs w:val="32"/>
          <w:highlight w:val="none"/>
          <w:lang w:val="en-US" w:eastAsia="zh-CN" w:bidi="ar-SA"/>
        </w:rPr>
        <w:t>实行“一条鞭法”综合考核，进一步完善考核指标体系，考准考实干部实绩实效，干部年度考核结果总体上与学院（部门）综合考核结果相匹配。树立“干得好才能考得好”“考得好才能继续干”的竞争导向，依事择人导向更加鲜明。</w:t>
      </w:r>
      <w:r>
        <w:rPr>
          <w:rFonts w:hint="eastAsia" w:ascii="仿宋_GB2312" w:hAnsi="仿宋_GB2312" w:eastAsia="仿宋_GB2312" w:cs="仿宋_GB2312"/>
          <w:b w:val="0"/>
          <w:bCs w:val="0"/>
          <w:color w:val="auto"/>
          <w:sz w:val="32"/>
          <w:szCs w:val="32"/>
          <w:highlight w:val="none"/>
          <w:lang w:val="en-US" w:eastAsia="zh-CN"/>
        </w:rPr>
        <w:t>完成7名试用期满一年中层领导人员考核工作，通过主要表现材料、针对性开展谈心谈话等，做好工作实绩和能力印证，对新提任中层领导人员进行有效“年检”。</w:t>
      </w:r>
    </w:p>
    <w:p>
      <w:pPr>
        <w:keepNext w:val="0"/>
        <w:keepLines w:val="0"/>
        <w:pageBreakBefore w:val="0"/>
        <w:widowControl w:val="0"/>
        <w:kinsoku/>
        <w:wordWrap/>
        <w:overflowPunct/>
        <w:topLinePunct w:val="0"/>
        <w:autoSpaceDE/>
        <w:autoSpaceDN/>
        <w:bidi w:val="0"/>
        <w:adjustRightInd/>
        <w:snapToGrid w:val="0"/>
        <w:spacing w:before="157" w:beforeLines="50" w:line="560" w:lineRule="exact"/>
        <w:ind w:firstLine="643" w:firstLineChars="200"/>
        <w:jc w:val="both"/>
        <w:textAlignment w:val="auto"/>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lang w:val="en-US" w:eastAsia="zh-CN"/>
        </w:rPr>
        <w:t xml:space="preserve"> 二、坚持理论武装强化学习，持续推进</w:t>
      </w:r>
      <w:r>
        <w:rPr>
          <w:rFonts w:hint="eastAsia" w:ascii="楷体_GB2312" w:hAnsi="楷体_GB2312" w:eastAsia="楷体_GB2312" w:cs="楷体_GB2312"/>
          <w:b/>
          <w:bCs/>
          <w:color w:val="auto"/>
          <w:sz w:val="32"/>
          <w:szCs w:val="32"/>
          <w:highlight w:val="none"/>
        </w:rPr>
        <w:t>干部</w:t>
      </w:r>
      <w:r>
        <w:rPr>
          <w:rFonts w:hint="eastAsia" w:ascii="楷体_GB2312" w:hAnsi="楷体_GB2312" w:eastAsia="楷体_GB2312" w:cs="楷体_GB2312"/>
          <w:b/>
          <w:bCs/>
          <w:color w:val="auto"/>
          <w:sz w:val="32"/>
          <w:szCs w:val="32"/>
          <w:highlight w:val="none"/>
          <w:lang w:val="en-US" w:eastAsia="zh-CN"/>
        </w:rPr>
        <w:t>素养提升</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一是持续推进习近平新时代中国特色社会主义思想凝心铸魂</w:t>
      </w:r>
      <w:r>
        <w:rPr>
          <w:rFonts w:hint="eastAsia" w:ascii="仿宋_GB2312" w:hAnsi="仿宋_GB2312" w:eastAsia="仿宋_GB2312" w:cs="仿宋_GB2312"/>
          <w:b w:val="0"/>
          <w:bCs w:val="0"/>
          <w:color w:val="auto"/>
          <w:sz w:val="32"/>
          <w:szCs w:val="32"/>
          <w:highlight w:val="none"/>
          <w:lang w:val="en-US" w:eastAsia="zh-CN"/>
        </w:rPr>
        <w:t>。认真组织学习习近平总书记重要讲话和指示</w:t>
      </w:r>
      <w:r>
        <w:rPr>
          <w:rFonts w:hint="default" w:ascii="仿宋_GB2312" w:hAnsi="仿宋_GB2312" w:eastAsia="仿宋_GB2312" w:cs="仿宋_GB2312"/>
          <w:b w:val="0"/>
          <w:bCs w:val="0"/>
          <w:color w:val="auto"/>
          <w:sz w:val="32"/>
          <w:szCs w:val="32"/>
          <w:highlight w:val="none"/>
          <w:lang w:eastAsia="zh-CN"/>
        </w:rPr>
        <w:t>批示</w:t>
      </w:r>
      <w:r>
        <w:rPr>
          <w:rFonts w:hint="eastAsia" w:ascii="仿宋_GB2312" w:hAnsi="仿宋_GB2312" w:eastAsia="仿宋_GB2312" w:cs="仿宋_GB2312"/>
          <w:b w:val="0"/>
          <w:bCs w:val="0"/>
          <w:color w:val="auto"/>
          <w:sz w:val="32"/>
          <w:szCs w:val="32"/>
          <w:highlight w:val="none"/>
          <w:lang w:val="en-US" w:eastAsia="zh-CN"/>
        </w:rPr>
        <w:t>精神，高质量完成党纪学习教育，高标准开展党的二十届三中全会精神集中轮训工作，实现全体中层领导人员、学术副院长、部门专聘副职和主管岗及以下干部全覆盖，全面提升干部队伍的政治素质。</w:t>
      </w:r>
      <w:r>
        <w:rPr>
          <w:rFonts w:hint="eastAsia" w:ascii="仿宋_GB2312" w:hAnsi="仿宋_GB2312" w:eastAsia="仿宋_GB2312" w:cs="仿宋_GB2312"/>
          <w:b/>
          <w:bCs/>
          <w:color w:val="auto"/>
          <w:sz w:val="32"/>
          <w:szCs w:val="32"/>
          <w:highlight w:val="none"/>
          <w:lang w:val="en-US" w:eastAsia="zh-CN"/>
        </w:rPr>
        <w:t>二是多措并举全面提升培训质量。</w:t>
      </w:r>
      <w:r>
        <w:rPr>
          <w:rFonts w:hint="eastAsia" w:ascii="仿宋_GB2312" w:hAnsi="仿宋_GB2312" w:eastAsia="仿宋_GB2312" w:cs="仿宋_GB2312"/>
          <w:b w:val="0"/>
          <w:bCs w:val="0"/>
          <w:color w:val="auto"/>
          <w:sz w:val="32"/>
          <w:szCs w:val="32"/>
          <w:highlight w:val="none"/>
          <w:lang w:val="en-US" w:eastAsia="zh-CN"/>
        </w:rPr>
        <w:t>本年度共选派46名干部参加国家教育行政学院、省委党校等各级各类集中调训，组织560名中层领导人员、主管岗人员等参加浙江领导干部网络学院在线学习教育。举办暑期干部读书班，组织71名干部赴古田、瑞金、红旗渠等红色教育基地开展政绩观教育锤炼党性。发挥校本级党校教育功能，结合学校工作实际，组织开展校内培训10余场，培训干部1958人次。承办省委教育工委第二十四期钱塘片区高校干部校际培训班，为干部校际交流创建平台。</w:t>
      </w:r>
      <w:r>
        <w:rPr>
          <w:rFonts w:hint="eastAsia" w:ascii="仿宋_GB2312" w:hAnsi="仿宋_GB2312" w:eastAsia="仿宋_GB2312" w:cs="仿宋_GB2312"/>
          <w:b/>
          <w:bCs/>
          <w:color w:val="auto"/>
          <w:sz w:val="32"/>
          <w:szCs w:val="32"/>
          <w:highlight w:val="none"/>
          <w:lang w:val="en-US" w:eastAsia="zh-CN"/>
        </w:rPr>
        <w:t>三是抓牢“关键少数”</w:t>
      </w:r>
      <w:r>
        <w:rPr>
          <w:rFonts w:hint="eastAsia" w:ascii="仿宋_GB2312" w:hAnsi="仿宋_GB2312" w:eastAsia="仿宋_GB2312" w:cs="仿宋_GB2312"/>
          <w:b/>
          <w:bCs/>
          <w:color w:val="auto"/>
          <w:sz w:val="32"/>
          <w:szCs w:val="32"/>
          <w:highlight w:val="none"/>
          <w:lang w:val="en-US" w:eastAsia="zh-CN"/>
        </w:rPr>
        <w:fldChar w:fldCharType="begin"/>
      </w:r>
      <w:r>
        <w:rPr>
          <w:rFonts w:hint="eastAsia" w:ascii="仿宋_GB2312" w:hAnsi="仿宋_GB2312" w:eastAsia="仿宋_GB2312" w:cs="仿宋_GB2312"/>
          <w:b/>
          <w:bCs/>
          <w:color w:val="auto"/>
          <w:sz w:val="32"/>
          <w:szCs w:val="32"/>
          <w:highlight w:val="none"/>
          <w:lang w:val="en-US" w:eastAsia="zh-CN"/>
        </w:rPr>
        <w:instrText xml:space="preserve"> HYPERLINK "http://www.baidu.com/link?url=BII7qqL99fIBPlgRi7d0TrS-F24Ep3Nwyx3X2B76UJsG0HFz4dls18gh1qr-KxXBmVNyU30ztrjCTA4aLfnvqEuG4I_a02_JkHYhQAbo1q3" \t "https://www.baidu.com/_blank" </w:instrText>
      </w:r>
      <w:r>
        <w:rPr>
          <w:rFonts w:hint="eastAsia" w:ascii="仿宋_GB2312" w:hAnsi="仿宋_GB2312" w:eastAsia="仿宋_GB2312" w:cs="仿宋_GB2312"/>
          <w:b/>
          <w:bCs/>
          <w:color w:val="auto"/>
          <w:sz w:val="32"/>
          <w:szCs w:val="32"/>
          <w:highlight w:val="none"/>
          <w:lang w:val="en-US" w:eastAsia="zh-CN"/>
        </w:rPr>
        <w:fldChar w:fldCharType="separate"/>
      </w:r>
      <w:r>
        <w:rPr>
          <w:rFonts w:hint="eastAsia" w:ascii="仿宋_GB2312" w:hAnsi="仿宋_GB2312" w:eastAsia="仿宋_GB2312" w:cs="仿宋_GB2312"/>
          <w:b/>
          <w:bCs/>
          <w:color w:val="auto"/>
          <w:sz w:val="32"/>
          <w:szCs w:val="32"/>
          <w:highlight w:val="none"/>
          <w:lang w:val="en-US" w:eastAsia="zh-CN"/>
        </w:rPr>
        <w:t>发挥“头雁”作用。</w:t>
      </w:r>
      <w:r>
        <w:rPr>
          <w:rFonts w:hint="eastAsia" w:ascii="仿宋_GB2312" w:hAnsi="仿宋_GB2312" w:eastAsia="仿宋_GB2312" w:cs="仿宋_GB2312"/>
          <w:b/>
          <w:bCs/>
          <w:color w:val="auto"/>
          <w:sz w:val="32"/>
          <w:szCs w:val="32"/>
          <w:highlight w:val="none"/>
          <w:lang w:val="en-US" w:eastAsia="zh-CN"/>
        </w:rPr>
        <w:fldChar w:fldCharType="end"/>
      </w:r>
      <w:r>
        <w:rPr>
          <w:rFonts w:hint="eastAsia" w:ascii="仿宋_GB2312" w:hAnsi="仿宋_GB2312" w:eastAsia="仿宋_GB2312" w:cs="仿宋_GB2312"/>
          <w:b w:val="0"/>
          <w:bCs w:val="0"/>
          <w:color w:val="auto"/>
          <w:sz w:val="32"/>
          <w:szCs w:val="32"/>
          <w:highlight w:val="none"/>
          <w:lang w:val="en-US" w:eastAsia="zh-CN"/>
        </w:rPr>
        <w:t>全年举办学院（部门）工作交流会4场，58位中层正职领导现场交流工作，亮晒成绩、分析问题、谋划对策，突出问题导向，营造比学赶超氛围，激活“雁阵效应”。</w:t>
      </w:r>
    </w:p>
    <w:p>
      <w:pPr>
        <w:keepNext w:val="0"/>
        <w:keepLines w:val="0"/>
        <w:pageBreakBefore w:val="0"/>
        <w:widowControl w:val="0"/>
        <w:kinsoku/>
        <w:wordWrap/>
        <w:overflowPunct/>
        <w:topLinePunct w:val="0"/>
        <w:autoSpaceDE/>
        <w:autoSpaceDN/>
        <w:bidi w:val="0"/>
        <w:adjustRightInd/>
        <w:snapToGrid w:val="0"/>
        <w:spacing w:before="157" w:beforeLines="50" w:line="560" w:lineRule="exact"/>
        <w:ind w:firstLine="643" w:firstLineChars="200"/>
        <w:jc w:val="both"/>
        <w:textAlignment w:val="auto"/>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三、坚持对标落实使命愿景，全面建强卓越干部队伍</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一是充分发挥和放大重要办学指示和祝贺关爱的政治优势。</w:t>
      </w:r>
      <w:r>
        <w:rPr>
          <w:rFonts w:hint="eastAsia" w:ascii="仿宋_GB2312" w:hAnsi="仿宋_GB2312" w:eastAsia="仿宋_GB2312" w:cs="仿宋_GB2312"/>
          <w:b w:val="0"/>
          <w:bCs w:val="0"/>
          <w:color w:val="auto"/>
          <w:sz w:val="32"/>
          <w:szCs w:val="32"/>
          <w:highlight w:val="none"/>
          <w:lang w:val="en-US" w:eastAsia="zh-CN"/>
        </w:rPr>
        <w:t>围绕习近平总书记对学校提出的“在全国有位置、全省很重要”指示批示要求，动员全校党员干部始终把服务国家作为崇高追求，持续深化“六大一号工程”建设，凝练形成学校使命愿景红皮书战略部署，凝聚大共识，明确大方向，形成大合力，以高素质干部队伍助推事业高质量发展。</w:t>
      </w:r>
      <w:r>
        <w:rPr>
          <w:rFonts w:hint="eastAsia" w:ascii="仿宋_GB2312" w:hAnsi="仿宋_GB2312" w:eastAsia="仿宋_GB2312" w:cs="仿宋_GB2312"/>
          <w:b/>
          <w:bCs/>
          <w:color w:val="auto"/>
          <w:sz w:val="32"/>
          <w:szCs w:val="32"/>
          <w:highlight w:val="none"/>
          <w:lang w:val="en-US" w:eastAsia="zh-CN"/>
        </w:rPr>
        <w:t>二是全面做好中层领导人员人事档案专审和数字化工作。</w:t>
      </w:r>
      <w:r>
        <w:rPr>
          <w:rFonts w:hint="eastAsia" w:ascii="仿宋_GB2312" w:hAnsi="仿宋_GB2312" w:eastAsia="仿宋_GB2312" w:cs="仿宋_GB2312"/>
          <w:b w:val="0"/>
          <w:bCs w:val="0"/>
          <w:color w:val="auto"/>
          <w:sz w:val="32"/>
          <w:szCs w:val="32"/>
          <w:highlight w:val="none"/>
          <w:lang w:val="en-US" w:eastAsia="zh-CN"/>
        </w:rPr>
        <w:t>运用数字化手段，优化数据管理，对干部履历、经历等进行系统梳理，准确掌握干部学历、业绩和发展所需，为研判干部一贯表现提供支撑。采取“履历业绩评价”的方式，择优考选干部。</w:t>
      </w:r>
      <w:r>
        <w:rPr>
          <w:rFonts w:hint="eastAsia" w:ascii="仿宋_GB2312" w:hAnsi="仿宋_GB2312" w:eastAsia="仿宋_GB2312" w:cs="仿宋_GB2312"/>
          <w:b/>
          <w:bCs/>
          <w:color w:val="auto"/>
          <w:sz w:val="32"/>
          <w:szCs w:val="32"/>
          <w:highlight w:val="none"/>
          <w:lang w:val="en-US" w:eastAsia="zh-CN"/>
        </w:rPr>
        <w:t>三是抓好新入职教职工初任培训。</w:t>
      </w:r>
      <w:r>
        <w:rPr>
          <w:rFonts w:hint="eastAsia" w:ascii="仿宋_GB2312" w:hAnsi="仿宋_GB2312" w:eastAsia="仿宋_GB2312" w:cs="仿宋_GB2312"/>
          <w:b w:val="0"/>
          <w:bCs w:val="0"/>
          <w:color w:val="auto"/>
          <w:sz w:val="32"/>
          <w:szCs w:val="32"/>
          <w:highlight w:val="none"/>
          <w:lang w:val="en-US" w:eastAsia="zh-CN"/>
        </w:rPr>
        <w:t>把学院、部门领导“第一导师”责任贯穿干部成长全生命周期，充分发挥业务主管、学术骨干启蒙导师作用，由“修行靠个人”转变为有组织管、有领导带、有师傅教、有众人帮，形成“1＋1＋N”的“传帮带”培养模式，帮助新入职教职工上好“第一课”、迈好“第一步”。</w:t>
      </w:r>
    </w:p>
    <w:p>
      <w:pPr>
        <w:keepNext w:val="0"/>
        <w:keepLines w:val="0"/>
        <w:pageBreakBefore w:val="0"/>
        <w:widowControl w:val="0"/>
        <w:kinsoku/>
        <w:wordWrap/>
        <w:overflowPunct/>
        <w:topLinePunct w:val="0"/>
        <w:autoSpaceDE/>
        <w:autoSpaceDN/>
        <w:bidi w:val="0"/>
        <w:adjustRightInd/>
        <w:snapToGrid w:val="0"/>
        <w:spacing w:before="157" w:beforeLines="50" w:line="560" w:lineRule="exact"/>
        <w:ind w:firstLine="643" w:firstLineChars="200"/>
        <w:jc w:val="both"/>
        <w:textAlignment w:val="auto"/>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四、坚持</w:t>
      </w:r>
      <w:r>
        <w:rPr>
          <w:rFonts w:hint="eastAsia" w:ascii="楷体_GB2312" w:hAnsi="楷体_GB2312" w:eastAsia="楷体_GB2312" w:cs="楷体_GB2312"/>
          <w:b/>
          <w:bCs/>
          <w:color w:val="auto"/>
          <w:sz w:val="32"/>
          <w:szCs w:val="32"/>
          <w:highlight w:val="none"/>
          <w:lang w:val="zh-CN" w:eastAsia="zh-CN"/>
        </w:rPr>
        <w:t>强化纪律规矩意识，</w:t>
      </w:r>
      <w:r>
        <w:rPr>
          <w:rFonts w:hint="eastAsia" w:ascii="楷体_GB2312" w:hAnsi="楷体_GB2312" w:eastAsia="楷体_GB2312" w:cs="楷体_GB2312"/>
          <w:b/>
          <w:bCs/>
          <w:color w:val="auto"/>
          <w:sz w:val="32"/>
          <w:szCs w:val="32"/>
          <w:highlight w:val="none"/>
          <w:lang w:val="en-US" w:eastAsia="zh-CN"/>
        </w:rPr>
        <w:t>实现干部监督提质增效</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一是严格落实干部监督责任。</w:t>
      </w:r>
      <w:r>
        <w:rPr>
          <w:rFonts w:hint="eastAsia" w:ascii="仿宋_GB2312" w:hAnsi="仿宋_GB2312" w:eastAsia="仿宋_GB2312" w:cs="仿宋_GB2312"/>
          <w:b w:val="0"/>
          <w:bCs w:val="0"/>
          <w:color w:val="auto"/>
          <w:sz w:val="32"/>
          <w:szCs w:val="32"/>
          <w:highlight w:val="none"/>
          <w:lang w:eastAsia="zh-CN"/>
        </w:rPr>
        <w:t>坚持把政治标准放在首位，做深做实干部政治素质考察，突出把好政治关、廉洁关。</w:t>
      </w:r>
      <w:r>
        <w:rPr>
          <w:rFonts w:hint="eastAsia" w:ascii="仿宋_GB2312" w:hAnsi="仿宋_GB2312" w:eastAsia="仿宋_GB2312" w:cs="仿宋_GB2312"/>
          <w:b w:val="0"/>
          <w:bCs w:val="0"/>
          <w:color w:val="auto"/>
          <w:sz w:val="32"/>
          <w:szCs w:val="32"/>
          <w:highlight w:val="none"/>
          <w:lang w:val="en-US" w:eastAsia="zh-CN"/>
        </w:rPr>
        <w:t>认真开展年度集中报告和重点人选查核工作，做到填报前详细讲解政策、填报中耐心指导、填报后贴心提醒。本年度随机抽查17位中层领导人员和重点查核19位拟提任干部个人有关事项，未发生填报不一致情况。</w:t>
      </w:r>
      <w:r>
        <w:rPr>
          <w:rFonts w:hint="eastAsia" w:ascii="仿宋_GB2312" w:hAnsi="仿宋_GB2312" w:eastAsia="仿宋_GB2312" w:cs="仿宋_GB2312"/>
          <w:b/>
          <w:bCs/>
          <w:color w:val="auto"/>
          <w:sz w:val="32"/>
          <w:szCs w:val="32"/>
          <w:highlight w:val="none"/>
          <w:lang w:val="en-US" w:eastAsia="zh-CN"/>
        </w:rPr>
        <w:t>二是做好干部监督政策解读。</w:t>
      </w:r>
      <w:r>
        <w:rPr>
          <w:rFonts w:hint="eastAsia" w:ascii="仿宋_GB2312" w:hAnsi="仿宋_GB2312" w:eastAsia="仿宋_GB2312" w:cs="仿宋_GB2312"/>
          <w:b w:val="0"/>
          <w:bCs w:val="0"/>
          <w:color w:val="auto"/>
          <w:sz w:val="32"/>
          <w:szCs w:val="32"/>
          <w:highlight w:val="none"/>
          <w:lang w:val="en-US" w:eastAsia="zh-CN"/>
        </w:rPr>
        <w:t>坚持严管厚爱的工作导向，从讲政治的高度落实好干部监督工作，邀请校外专家来校就干部监督的政治性、紧迫性等进行监督政策宣讲辅导。优化因私出国（境）证照办理、出入境审批流程、台账规范管理，落实行前及回国后的教育工作。严格落实</w:t>
      </w:r>
      <w:r>
        <w:rPr>
          <w:rFonts w:hint="eastAsia" w:ascii="仿宋_GB2312" w:hAnsi="仿宋_GB2312" w:eastAsia="仿宋_GB2312" w:cs="仿宋_GB2312"/>
          <w:b w:val="0"/>
          <w:bCs w:val="0"/>
          <w:color w:val="auto"/>
          <w:sz w:val="32"/>
          <w:szCs w:val="32"/>
          <w:highlight w:val="none"/>
        </w:rPr>
        <w:t>日常</w:t>
      </w:r>
      <w:r>
        <w:rPr>
          <w:rFonts w:hint="eastAsia" w:ascii="仿宋_GB2312" w:hAnsi="仿宋_GB2312" w:eastAsia="仿宋_GB2312" w:cs="仿宋_GB2312"/>
          <w:b w:val="0"/>
          <w:bCs w:val="0"/>
          <w:color w:val="auto"/>
          <w:sz w:val="32"/>
          <w:szCs w:val="32"/>
          <w:highlight w:val="none"/>
          <w:lang w:val="en-US" w:eastAsia="zh-CN"/>
        </w:rPr>
        <w:t>请示、请假等</w:t>
      </w:r>
      <w:r>
        <w:rPr>
          <w:rFonts w:hint="eastAsia" w:ascii="仿宋_GB2312" w:hAnsi="仿宋_GB2312" w:eastAsia="仿宋_GB2312" w:cs="仿宋_GB2312"/>
          <w:b w:val="0"/>
          <w:bCs w:val="0"/>
          <w:color w:val="auto"/>
          <w:sz w:val="32"/>
          <w:szCs w:val="32"/>
          <w:highlight w:val="none"/>
        </w:rPr>
        <w:t>管理审批工作</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zh-CN"/>
        </w:rPr>
        <w:t>进一步强化干部纪律和规矩意识，</w:t>
      </w:r>
      <w:r>
        <w:rPr>
          <w:rFonts w:hint="eastAsia" w:ascii="仿宋_GB2312" w:hAnsi="仿宋_GB2312" w:eastAsia="仿宋_GB2312" w:cs="仿宋_GB2312"/>
          <w:b w:val="0"/>
          <w:bCs w:val="0"/>
          <w:color w:val="auto"/>
          <w:sz w:val="32"/>
          <w:szCs w:val="32"/>
          <w:highlight w:val="none"/>
          <w:lang w:val="en-US" w:eastAsia="zh-CN"/>
        </w:rPr>
        <w:t>构建干部监督闭环。加强干部监督执纪结果运用，注重在干部选任、评优评先、干部派出学习挂职等工作中听取纪检监察室的意见建议。</w:t>
      </w:r>
      <w:r>
        <w:rPr>
          <w:rFonts w:hint="eastAsia" w:ascii="仿宋_GB2312" w:hAnsi="仿宋_GB2312" w:eastAsia="仿宋_GB2312" w:cs="仿宋_GB2312"/>
          <w:b/>
          <w:bCs/>
          <w:color w:val="auto"/>
          <w:sz w:val="32"/>
          <w:szCs w:val="32"/>
          <w:highlight w:val="none"/>
          <w:lang w:val="en-US" w:eastAsia="zh-CN"/>
        </w:rPr>
        <w:t>三是动真碰硬，推动干部能上能下。</w:t>
      </w:r>
      <w:r>
        <w:rPr>
          <w:rFonts w:hint="eastAsia" w:ascii="仿宋_GB2312" w:hAnsi="仿宋_GB2312" w:eastAsia="仿宋_GB2312" w:cs="仿宋_GB2312"/>
          <w:b w:val="0"/>
          <w:bCs w:val="0"/>
          <w:color w:val="auto"/>
          <w:sz w:val="32"/>
          <w:szCs w:val="32"/>
          <w:highlight w:val="none"/>
          <w:lang w:val="en-US" w:eastAsia="zh-CN"/>
        </w:rPr>
        <w:t>学校党委定期</w:t>
      </w:r>
      <w:r>
        <w:rPr>
          <w:rFonts w:hint="eastAsia" w:ascii="仿宋_GB2312" w:hAnsi="仿宋_GB2312" w:eastAsia="仿宋_GB2312" w:cs="仿宋_GB2312"/>
          <w:b w:val="0"/>
          <w:bCs w:val="0"/>
          <w:color w:val="auto"/>
          <w:sz w:val="32"/>
          <w:szCs w:val="32"/>
          <w:highlight w:val="none"/>
        </w:rPr>
        <w:t>分析研判干部大监督信息</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针对发现的问题线索及时调查研判，坚持标本兼治，压实工作责任，对于不适宜担任现职的4名干部及时进行岗位调整，对于违纪违规的2名干部按规定进行处理。</w:t>
      </w:r>
    </w:p>
    <w:p>
      <w:pPr>
        <w:keepNext w:val="0"/>
        <w:keepLines w:val="0"/>
        <w:pageBreakBefore w:val="0"/>
        <w:widowControl w:val="0"/>
        <w:kinsoku/>
        <w:wordWrap/>
        <w:overflowPunct/>
        <w:topLinePunct w:val="0"/>
        <w:autoSpaceDE/>
        <w:autoSpaceDN/>
        <w:bidi w:val="0"/>
        <w:adjustRightInd/>
        <w:snapToGrid w:val="0"/>
        <w:spacing w:before="157" w:beforeLines="50" w:line="560" w:lineRule="exact"/>
        <w:ind w:firstLine="643" w:firstLineChars="200"/>
        <w:jc w:val="both"/>
        <w:textAlignment w:val="auto"/>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五、坚持后继有人根本大计，稳步推进年轻干部梯队建设</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ascii="仿宋_GB2312" w:hAnsi="仿宋_GB2312" w:eastAsia="仿宋_GB2312" w:cs="仿宋_GB2312"/>
          <w:color w:val="0000FF"/>
          <w:sz w:val="32"/>
          <w:szCs w:val="32"/>
        </w:rPr>
      </w:pPr>
      <w:r>
        <w:rPr>
          <w:rFonts w:hint="eastAsia" w:ascii="仿宋_GB2312" w:hAnsi="仿宋_GB2312" w:eastAsia="仿宋_GB2312" w:cs="仿宋_GB2312"/>
          <w:b/>
          <w:bCs/>
          <w:color w:val="auto"/>
          <w:sz w:val="32"/>
          <w:szCs w:val="32"/>
          <w:highlight w:val="none"/>
          <w:lang w:val="en-US" w:eastAsia="zh-CN"/>
        </w:rPr>
        <w:t>一是开展新一轮优秀年轻干部推荐。</w:t>
      </w:r>
      <w:r>
        <w:rPr>
          <w:rFonts w:hint="eastAsia" w:ascii="仿宋_GB2312" w:hAnsi="仿宋_GB2312" w:eastAsia="仿宋_GB2312" w:cs="仿宋_GB2312"/>
          <w:b w:val="0"/>
          <w:bCs w:val="0"/>
          <w:color w:val="auto"/>
          <w:sz w:val="32"/>
          <w:szCs w:val="32"/>
          <w:highlight w:val="none"/>
        </w:rPr>
        <w:t>抓好年轻干部培养“根本大计”，坚持把培养选拔优秀年轻干部作为领导班子和干部队伍建设的基础性工程，</w:t>
      </w:r>
      <w:r>
        <w:rPr>
          <w:rFonts w:hint="eastAsia" w:ascii="仿宋_GB2312" w:hAnsi="仿宋_GB2312" w:eastAsia="仿宋_GB2312" w:cs="仿宋_GB2312"/>
          <w:b w:val="0"/>
          <w:bCs w:val="0"/>
          <w:color w:val="auto"/>
          <w:sz w:val="32"/>
          <w:szCs w:val="32"/>
          <w:highlight w:val="none"/>
          <w:lang w:val="en-US" w:eastAsia="zh-CN"/>
        </w:rPr>
        <w:t>着眼于“后继有人”</w:t>
      </w:r>
      <w:r>
        <w:rPr>
          <w:rFonts w:hint="eastAsia" w:ascii="仿宋_GB2312" w:hAnsi="仿宋_GB2312" w:eastAsia="仿宋_GB2312" w:cs="仿宋_GB2312"/>
          <w:b w:val="0"/>
          <w:bCs w:val="0"/>
          <w:color w:val="auto"/>
          <w:sz w:val="32"/>
          <w:szCs w:val="32"/>
          <w:highlight w:val="none"/>
        </w:rPr>
        <w:t>加强科学谋划，</w:t>
      </w:r>
      <w:r>
        <w:rPr>
          <w:rFonts w:hint="eastAsia" w:ascii="仿宋_GB2312" w:hAnsi="仿宋_GB2312" w:eastAsia="仿宋_GB2312" w:cs="仿宋_GB2312"/>
          <w:b w:val="0"/>
          <w:bCs w:val="0"/>
          <w:color w:val="auto"/>
          <w:sz w:val="32"/>
          <w:szCs w:val="32"/>
          <w:highlight w:val="none"/>
          <w:lang w:val="en-US" w:eastAsia="zh-CN"/>
        </w:rPr>
        <w:t>动态充实更新优秀年轻干部库</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bCs/>
          <w:color w:val="auto"/>
          <w:sz w:val="32"/>
          <w:szCs w:val="32"/>
          <w:highlight w:val="none"/>
          <w:lang w:val="en-US" w:eastAsia="zh-CN"/>
        </w:rPr>
        <w:t>二是推动专聘副职政策提质升级。</w:t>
      </w:r>
      <w:r>
        <w:rPr>
          <w:rFonts w:hint="eastAsia" w:ascii="仿宋_GB2312" w:hAnsi="仿宋_GB2312" w:eastAsia="仿宋_GB2312" w:cs="仿宋_GB2312"/>
          <w:b w:val="0"/>
          <w:bCs w:val="0"/>
          <w:color w:val="auto"/>
          <w:sz w:val="32"/>
          <w:szCs w:val="32"/>
          <w:highlight w:val="none"/>
          <w:lang w:val="en-US" w:eastAsia="zh-CN"/>
        </w:rPr>
        <w:t>持续实施</w:t>
      </w:r>
      <w:r>
        <w:rPr>
          <w:rFonts w:hint="eastAsia" w:ascii="仿宋_GB2312" w:hAnsi="仿宋_GB2312" w:eastAsia="仿宋_GB2312" w:cs="仿宋_GB2312"/>
          <w:b w:val="0"/>
          <w:bCs w:val="0"/>
          <w:color w:val="auto"/>
          <w:sz w:val="32"/>
          <w:szCs w:val="32"/>
          <w:highlight w:val="none"/>
        </w:rPr>
        <w:t>年轻干部“双增双强”计划，拓宽干部成长路径</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完成首批学术副院长、部门专聘副职期满考核工作，推动学术副院长（部门专聘副职）</w:t>
      </w:r>
      <w:r>
        <w:rPr>
          <w:rFonts w:hint="eastAsia" w:ascii="仿宋_GB2312" w:hAnsi="仿宋_GB2312" w:eastAsia="仿宋_GB2312" w:cs="仿宋_GB2312"/>
          <w:b w:val="0"/>
          <w:bCs w:val="0"/>
          <w:color w:val="auto"/>
          <w:sz w:val="32"/>
          <w:szCs w:val="32"/>
        </w:rPr>
        <w:t>聘任制度</w:t>
      </w:r>
      <w:r>
        <w:rPr>
          <w:rFonts w:hint="eastAsia" w:ascii="仿宋_GB2312" w:hAnsi="仿宋_GB2312" w:eastAsia="仿宋_GB2312" w:cs="仿宋_GB2312"/>
          <w:b w:val="0"/>
          <w:bCs w:val="0"/>
          <w:color w:val="auto"/>
          <w:sz w:val="32"/>
          <w:szCs w:val="32"/>
          <w:lang w:val="en-US" w:eastAsia="zh-CN"/>
        </w:rPr>
        <w:t>落实落细</w:t>
      </w:r>
      <w:r>
        <w:rPr>
          <w:rFonts w:hint="eastAsia" w:ascii="仿宋_GB2312" w:hAnsi="仿宋_GB2312" w:eastAsia="仿宋_GB2312" w:cs="仿宋_GB2312"/>
          <w:b w:val="0"/>
          <w:bCs w:val="0"/>
          <w:color w:val="auto"/>
          <w:sz w:val="32"/>
          <w:szCs w:val="32"/>
          <w:highlight w:val="none"/>
          <w:lang w:val="en-US" w:eastAsia="zh-CN"/>
        </w:rPr>
        <w:t>，不断</w:t>
      </w:r>
      <w:r>
        <w:rPr>
          <w:rFonts w:hint="eastAsia" w:ascii="仿宋_GB2312" w:hAnsi="仿宋_GB2312" w:eastAsia="仿宋_GB2312" w:cs="仿宋_GB2312"/>
          <w:b w:val="0"/>
          <w:bCs w:val="0"/>
          <w:color w:val="auto"/>
          <w:sz w:val="32"/>
          <w:szCs w:val="32"/>
          <w:highlight w:val="none"/>
        </w:rPr>
        <w:t>加大优秀学术型干部使用力度</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为优秀年轻干部的成长搭建平台</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lang w:val="en-US" w:eastAsia="zh-CN"/>
        </w:rPr>
        <w:t>三是用好干部挂职锻炼平台。</w:t>
      </w:r>
      <w:r>
        <w:rPr>
          <w:rFonts w:hint="eastAsia" w:ascii="仿宋_GB2312" w:hAnsi="仿宋_GB2312" w:eastAsia="仿宋_GB2312" w:cs="仿宋_GB2312"/>
          <w:b w:val="0"/>
          <w:bCs w:val="0"/>
          <w:color w:val="auto"/>
          <w:sz w:val="32"/>
          <w:szCs w:val="32"/>
          <w:highlight w:val="none"/>
          <w:lang w:val="en-US" w:eastAsia="zh-CN"/>
        </w:rPr>
        <w:t>推动干部培养与社会服务同步提质，本年度共选派28名党员干部到上级部门和地方挂职锻炼，年轻干部强担当、长见识、增本领，学校在服务社会中的人才支撑作用进一步凸显。</w:t>
      </w:r>
      <w:r>
        <w:rPr>
          <w:rFonts w:hint="eastAsia" w:ascii="仿宋_GB2312" w:hAnsi="仿宋_GB2312" w:eastAsia="仿宋_GB2312" w:cs="仿宋_GB2312"/>
          <w:b/>
          <w:bCs/>
          <w:color w:val="auto"/>
          <w:sz w:val="32"/>
          <w:szCs w:val="32"/>
          <w:highlight w:val="none"/>
          <w:lang w:val="en-US" w:eastAsia="zh-CN"/>
        </w:rPr>
        <w:t>四是蹲苗压担，助力年轻干部快速成长。</w:t>
      </w:r>
      <w:r>
        <w:rPr>
          <w:rFonts w:hint="eastAsia" w:ascii="仿宋_GB2312" w:hAnsi="仿宋_GB2312" w:eastAsia="仿宋_GB2312" w:cs="仿宋_GB2312"/>
          <w:b w:val="0"/>
          <w:bCs w:val="0"/>
          <w:color w:val="auto"/>
          <w:sz w:val="32"/>
          <w:szCs w:val="32"/>
          <w:highlight w:val="none"/>
        </w:rPr>
        <w:t>对优秀年轻干部实施“蹲苗”“压担”</w:t>
      </w:r>
      <w:r>
        <w:rPr>
          <w:rFonts w:hint="eastAsia" w:ascii="仿宋_GB2312" w:hAnsi="仿宋_GB2312" w:eastAsia="仿宋_GB2312" w:cs="仿宋_GB2312"/>
          <w:b w:val="0"/>
          <w:bCs w:val="0"/>
          <w:color w:val="auto"/>
          <w:sz w:val="32"/>
          <w:szCs w:val="32"/>
          <w:highlight w:val="none"/>
          <w:lang w:val="en-US" w:eastAsia="zh-CN"/>
        </w:rPr>
        <w:t>锻炼</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val="en-US" w:eastAsia="zh-CN"/>
        </w:rPr>
        <w:t>将优秀年轻干部在学位</w:t>
      </w:r>
      <w:r>
        <w:rPr>
          <w:rFonts w:hint="eastAsia" w:ascii="仿宋_GB2312" w:hAnsi="仿宋_GB2312" w:eastAsia="仿宋_GB2312" w:cs="仿宋_GB2312"/>
          <w:b w:val="0"/>
          <w:bCs w:val="0"/>
          <w:color w:val="auto"/>
          <w:sz w:val="32"/>
          <w:szCs w:val="32"/>
          <w:highlight w:val="none"/>
          <w:shd w:val="clear" w:color="auto" w:fill="FFFFFF"/>
          <w:lang w:val="en-US" w:eastAsia="zh-CN"/>
        </w:rPr>
        <w:t>点申报</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val="en-US" w:eastAsia="zh-CN"/>
        </w:rPr>
        <w:t>基础设施提质改造</w:t>
      </w:r>
      <w:r>
        <w:rPr>
          <w:rFonts w:hint="eastAsia" w:ascii="仿宋_GB2312" w:hAnsi="仿宋_GB2312" w:eastAsia="仿宋_GB2312" w:cs="仿宋_GB2312"/>
          <w:b w:val="0"/>
          <w:bCs w:val="0"/>
          <w:color w:val="auto"/>
          <w:sz w:val="32"/>
          <w:szCs w:val="32"/>
          <w:highlight w:val="none"/>
        </w:rPr>
        <w:t>等专项专班</w:t>
      </w:r>
      <w:r>
        <w:rPr>
          <w:rFonts w:hint="eastAsia" w:ascii="仿宋_GB2312" w:hAnsi="仿宋_GB2312" w:eastAsia="仿宋_GB2312" w:cs="仿宋_GB2312"/>
          <w:b w:val="0"/>
          <w:bCs w:val="0"/>
          <w:color w:val="auto"/>
          <w:sz w:val="32"/>
          <w:szCs w:val="32"/>
          <w:highlight w:val="none"/>
          <w:lang w:val="en-US" w:eastAsia="zh-CN"/>
        </w:rPr>
        <w:t>“吃劲”岗位跟踪培养</w:t>
      </w:r>
      <w:r>
        <w:rPr>
          <w:rFonts w:hint="eastAsia" w:ascii="仿宋_GB2312" w:hAnsi="仿宋_GB2312" w:eastAsia="仿宋_GB2312" w:cs="仿宋_GB2312"/>
          <w:b w:val="0"/>
          <w:bCs w:val="0"/>
          <w:color w:val="auto"/>
          <w:sz w:val="32"/>
          <w:szCs w:val="32"/>
          <w:lang w:val="en-US" w:eastAsia="zh-CN"/>
        </w:rPr>
        <w:t>，大胆使用表现优秀、发展潜力大的青年教师，年轻干部储备持续充实。</w:t>
      </w:r>
    </w:p>
    <w:p>
      <w:pPr>
        <w:ind w:left="0" w:leftChars="0" w:firstLine="0" w:firstLineChars="0"/>
        <w:rPr>
          <w:rFonts w:hint="eastAsia" w:ascii="仿宋_GB2312" w:hAnsi="仿宋_GB2312" w:eastAsia="仿宋_GB2312" w:cs="仿宋_GB2312"/>
          <w:b w:val="0"/>
          <w:kern w:val="2"/>
          <w:sz w:val="32"/>
          <w:szCs w:val="32"/>
          <w:lang w:val="en-US" w:eastAsia="zh-CN" w:bidi="ar-SA"/>
        </w:rPr>
      </w:pPr>
    </w:p>
    <w:sectPr>
      <w:pgSz w:w="11906" w:h="16838"/>
      <w:pgMar w:top="1440" w:right="1416" w:bottom="1134" w:left="1560" w:header="96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Times New Roman Regular">
    <w:altName w:val="Times New Roman"/>
    <w:panose1 w:val="02020503050405090304"/>
    <w:charset w:val="00"/>
    <w:family w:val="auto"/>
    <w:pitch w:val="default"/>
    <w:sig w:usb0="00000000" w:usb1="00000000" w:usb2="00000001" w:usb3="00000000" w:csb0="400001BF" w:csb1="DFF7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i0l3TMICAADWBQAADgAAAAAA&#10;AAABACAAAAAfAQAAZHJzL2Uyb0RvYy54bWxQSwUGAAAAAAYABgBZAQAAUwYAAAAA&#10;">
              <v:fill on="f" focussize="0,0"/>
              <v:stroke on="f" weight="0.5pt"/>
              <v:imagedata o:title=""/>
              <o:lock v:ext="edit" aspectratio="f"/>
              <v:textbox inset="0mm,0mm,0mm,0mm" style="mso-fit-shape-to-text:t;">
                <w:txbxContent>
                  <w:p>
                    <w:pPr>
                      <w:pStyle w:val="5"/>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UEyylQ4CAAAHBAAADgAAAAAAAAABACAAAAAf&#10;AQAAZHJzL2Uyb0RvYy54bWxQSwUGAAAAAAYABgBZAQAAn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pP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ascii="楷体_GB2312" w:eastAsia="楷体_GB2312"/>
        <w:sz w:val="21"/>
        <w:szCs w:val="21"/>
        <w:lang w:val="en-US" w:eastAsia="zh-CN"/>
      </w:rPr>
    </w:pPr>
    <w:r>
      <w:rPr>
        <w:rFonts w:hint="eastAsia" w:ascii="楷体_GB2312" w:eastAsia="楷体_GB2312"/>
        <w:sz w:val="21"/>
        <w:szCs w:val="21"/>
      </w:rPr>
      <w:t>校第十二届教职工代表大会暨第十四届工会会员代表大会第</w:t>
    </w:r>
    <w:r>
      <w:rPr>
        <w:rFonts w:hint="eastAsia" w:ascii="楷体_GB2312" w:eastAsia="楷体_GB2312"/>
        <w:sz w:val="21"/>
        <w:szCs w:val="21"/>
        <w:lang w:val="en-US" w:eastAsia="zh-CN"/>
      </w:rPr>
      <w:t>三</w:t>
    </w:r>
    <w:r>
      <w:rPr>
        <w:rFonts w:hint="eastAsia" w:ascii="楷体_GB2312" w:eastAsia="楷体_GB2312"/>
        <w:sz w:val="21"/>
        <w:szCs w:val="21"/>
      </w:rPr>
      <w:t>次会议</w:t>
    </w:r>
    <w:r>
      <w:rPr>
        <w:rFonts w:hint="eastAsia" w:ascii="楷体_GB2312" w:eastAsia="楷体_GB2312"/>
        <w:sz w:val="21"/>
        <w:szCs w:val="21"/>
        <w:lang w:val="en-US" w:eastAsia="zh-CN"/>
      </w:rPr>
      <w:t>材料之五</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rFonts w:hint="eastAsia"/>
      </w:rPr>
      <w:t>202</w:t>
    </w:r>
    <w:r>
      <w:rPr>
        <w:rFonts w:hint="eastAsia"/>
        <w:lang w:val="en-US" w:eastAsia="zh-CN"/>
      </w:rPr>
      <w:t>4</w:t>
    </w:r>
    <w:r>
      <w:rPr>
        <w:rFonts w:hint="eastAsia"/>
      </w:rPr>
      <w:t>年校务公开报告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80A0D"/>
    <w:multiLevelType w:val="multilevel"/>
    <w:tmpl w:val="00480A0D"/>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C75"/>
    <w:rsid w:val="000257B4"/>
    <w:rsid w:val="000910F6"/>
    <w:rsid w:val="000D2846"/>
    <w:rsid w:val="002B27D3"/>
    <w:rsid w:val="003F22D6"/>
    <w:rsid w:val="0048284D"/>
    <w:rsid w:val="00490C53"/>
    <w:rsid w:val="00562824"/>
    <w:rsid w:val="005C4249"/>
    <w:rsid w:val="005F04D4"/>
    <w:rsid w:val="00A45847"/>
    <w:rsid w:val="00A55846"/>
    <w:rsid w:val="00C012B3"/>
    <w:rsid w:val="00DB292C"/>
    <w:rsid w:val="00DD3C75"/>
    <w:rsid w:val="00E1066C"/>
    <w:rsid w:val="00F04085"/>
    <w:rsid w:val="00FC5A07"/>
    <w:rsid w:val="0EF37AAD"/>
    <w:rsid w:val="10ED39BA"/>
    <w:rsid w:val="1B870C11"/>
    <w:rsid w:val="2AF572F6"/>
    <w:rsid w:val="30F96754"/>
    <w:rsid w:val="3B67773C"/>
    <w:rsid w:val="4B3610FE"/>
    <w:rsid w:val="52FF2193"/>
    <w:rsid w:val="62B11F44"/>
    <w:rsid w:val="6D5A7B2D"/>
    <w:rsid w:val="73986BB2"/>
    <w:rsid w:val="7AFB36AF"/>
    <w:rsid w:val="7B1725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564"/>
    </w:pPr>
    <w:rPr>
      <w:rFonts w:ascii="仿宋" w:hAnsi="仿宋" w:eastAsia="仿宋" w:cs="Times New Roman"/>
      <w:sz w:val="28"/>
      <w:szCs w:val="28"/>
      <w:lang w:val="en-US" w:eastAsia="zh-CN" w:bidi="ar-SA"/>
    </w:rPr>
  </w:style>
  <w:style w:type="paragraph" w:styleId="2">
    <w:name w:val="heading 1"/>
    <w:basedOn w:val="1"/>
    <w:next w:val="1"/>
    <w:link w:val="14"/>
    <w:qFormat/>
    <w:uiPriority w:val="0"/>
    <w:pPr>
      <w:keepNext/>
      <w:keepLines/>
      <w:spacing w:before="340" w:after="330" w:line="440" w:lineRule="exact"/>
      <w:jc w:val="center"/>
      <w:outlineLvl w:val="0"/>
    </w:pPr>
    <w:rPr>
      <w:rFonts w:ascii="Times New Roman" w:hAnsi="Times New Roman" w:eastAsia="方正小标宋简体"/>
      <w:b/>
      <w:bCs/>
      <w:kern w:val="44"/>
      <w:sz w:val="44"/>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3">
    <w:name w:val="Body Text Indent"/>
    <w:basedOn w:val="1"/>
    <w:next w:val="4"/>
    <w:qFormat/>
    <w:uiPriority w:val="0"/>
    <w:pPr>
      <w:spacing w:line="560" w:lineRule="exact"/>
      <w:ind w:firstLine="560" w:firstLineChars="200"/>
    </w:pPr>
    <w:rPr>
      <w:rFonts w:ascii="仿宋_GB2312" w:eastAsia="仿宋_GB2312"/>
    </w:rPr>
  </w:style>
  <w:style w:type="paragraph" w:styleId="4">
    <w:name w:val="Body Text First Indent 2"/>
    <w:basedOn w:val="3"/>
    <w:next w:val="1"/>
    <w:qFormat/>
    <w:uiPriority w:val="0"/>
    <w:pPr>
      <w:spacing w:after="120"/>
      <w:ind w:left="420" w:leftChars="200" w:firstLine="200" w:firstLineChars="200"/>
    </w:pPr>
  </w:style>
  <w:style w:type="paragraph" w:styleId="5">
    <w:name w:val="footer"/>
    <w:basedOn w:val="1"/>
    <w:link w:val="16"/>
    <w:semiHidden/>
    <w:unhideWhenUsed/>
    <w:qFormat/>
    <w:uiPriority w:val="99"/>
    <w:pPr>
      <w:tabs>
        <w:tab w:val="center" w:pos="4153"/>
        <w:tab w:val="right" w:pos="8306"/>
      </w:tabs>
      <w:snapToGrid w:val="0"/>
    </w:pPr>
    <w:rPr>
      <w:sz w:val="18"/>
      <w:szCs w:val="18"/>
    </w:rPr>
  </w:style>
  <w:style w:type="paragraph" w:styleId="6">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after="100" w:afterAutospacing="1"/>
      <w:ind w:firstLine="640" w:firstLineChars="200"/>
      <w:jc w:val="left"/>
    </w:pPr>
    <w:rPr>
      <w:rFonts w:ascii="宋体" w:hAnsi="宋体" w:cs="宋体"/>
      <w:kern w:val="0"/>
      <w:sz w:val="24"/>
    </w:rPr>
  </w:style>
  <w:style w:type="paragraph" w:styleId="8">
    <w:name w:val="Title"/>
    <w:basedOn w:val="1"/>
    <w:next w:val="1"/>
    <w:qFormat/>
    <w:uiPriority w:val="0"/>
    <w:pPr>
      <w:spacing w:before="240" w:after="60"/>
      <w:jc w:val="center"/>
      <w:outlineLvl w:val="0"/>
    </w:pPr>
    <w:rPr>
      <w:rFonts w:ascii="Cambria" w:hAnsi="Cambria" w:cs="Times New Roman"/>
      <w:b/>
      <w:bCs/>
      <w:sz w:val="32"/>
      <w:szCs w:val="32"/>
    </w:rPr>
  </w:style>
  <w:style w:type="table" w:styleId="10">
    <w:name w:val="Table Grid"/>
    <w:basedOn w:val="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character" w:styleId="12">
    <w:name w:val="Emphasis"/>
    <w:basedOn w:val="11"/>
    <w:qFormat/>
    <w:uiPriority w:val="0"/>
    <w:rPr>
      <w:i/>
      <w:iCs/>
    </w:rPr>
  </w:style>
  <w:style w:type="character" w:customStyle="1" w:styleId="13">
    <w:name w:val="标题 1 Char"/>
    <w:basedOn w:val="11"/>
    <w:qFormat/>
    <w:uiPriority w:val="9"/>
    <w:rPr>
      <w:rFonts w:ascii="Calibri" w:hAnsi="Calibri" w:eastAsia="宋体" w:cs="Times New Roman"/>
      <w:b/>
      <w:bCs/>
      <w:kern w:val="44"/>
      <w:sz w:val="44"/>
      <w:szCs w:val="44"/>
    </w:rPr>
  </w:style>
  <w:style w:type="character" w:customStyle="1" w:styleId="14">
    <w:name w:val="标题 1 Char1"/>
    <w:link w:val="2"/>
    <w:qFormat/>
    <w:uiPriority w:val="0"/>
    <w:rPr>
      <w:rFonts w:ascii="Times New Roman" w:hAnsi="Times New Roman" w:eastAsia="方正小标宋简体" w:cs="Times New Roman"/>
      <w:b/>
      <w:bCs/>
      <w:kern w:val="44"/>
      <w:sz w:val="44"/>
      <w:szCs w:val="44"/>
    </w:rPr>
  </w:style>
  <w:style w:type="character" w:customStyle="1" w:styleId="15">
    <w:name w:val="页眉 Char"/>
    <w:basedOn w:val="11"/>
    <w:link w:val="6"/>
    <w:semiHidden/>
    <w:qFormat/>
    <w:uiPriority w:val="99"/>
    <w:rPr>
      <w:rFonts w:ascii="Calibri" w:hAnsi="Calibri" w:eastAsia="宋体" w:cs="Times New Roman"/>
      <w:kern w:val="2"/>
      <w:sz w:val="18"/>
      <w:szCs w:val="18"/>
    </w:rPr>
  </w:style>
  <w:style w:type="character" w:customStyle="1" w:styleId="16">
    <w:name w:val="页脚 Char"/>
    <w:basedOn w:val="11"/>
    <w:link w:val="5"/>
    <w:semiHidden/>
    <w:qFormat/>
    <w:uiPriority w:val="99"/>
    <w:rPr>
      <w:rFonts w:ascii="Calibri" w:hAnsi="Calibri" w:eastAsia="宋体" w:cs="Times New Roman"/>
      <w:kern w:val="2"/>
      <w:sz w:val="18"/>
      <w:szCs w:val="18"/>
    </w:rPr>
  </w:style>
  <w:style w:type="paragraph" w:customStyle="1" w:styleId="17">
    <w:name w:val="标题二"/>
    <w:basedOn w:val="18"/>
    <w:qFormat/>
    <w:uiPriority w:val="0"/>
    <w:pPr>
      <w:spacing w:line="560" w:lineRule="exact"/>
      <w:ind w:firstLine="643" w:firstLineChars="200"/>
      <w:jc w:val="left"/>
    </w:pPr>
    <w:rPr>
      <w:rFonts w:ascii="楷体_GB2312" w:eastAsia="楷体_GB2312"/>
      <w:b/>
      <w:sz w:val="32"/>
      <w:szCs w:val="32"/>
    </w:rPr>
  </w:style>
  <w:style w:type="paragraph" w:customStyle="1" w:styleId="18">
    <w:name w:val="新新标题"/>
    <w:basedOn w:val="1"/>
    <w:link w:val="19"/>
    <w:qFormat/>
    <w:uiPriority w:val="0"/>
    <w:pPr>
      <w:jc w:val="center"/>
    </w:pPr>
    <w:rPr>
      <w:rFonts w:eastAsia="方正小标宋简体" w:asciiTheme="minorHAnsi" w:hAnsiTheme="minorHAnsi" w:cstheme="minorBidi"/>
      <w:sz w:val="36"/>
    </w:rPr>
  </w:style>
  <w:style w:type="character" w:customStyle="1" w:styleId="19">
    <w:name w:val="新新标题 Char"/>
    <w:link w:val="18"/>
    <w:qFormat/>
    <w:uiPriority w:val="0"/>
    <w:rPr>
      <w:rFonts w:eastAsia="方正小标宋简体" w:asciiTheme="minorHAnsi" w:hAnsiTheme="minorHAnsi" w:cstheme="minorBidi"/>
      <w:sz w:val="36"/>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59</Pages>
  <Words>17282</Words>
  <Characters>18140</Characters>
  <Lines>17</Lines>
  <Paragraphs>4</Paragraphs>
  <TotalTime>16</TotalTime>
  <ScaleCrop>false</ScaleCrop>
  <LinksUpToDate>false</LinksUpToDate>
  <CharactersWithSpaces>18164</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2025-04-03T16:13:00Z</dcterms:created>
  <dc:creator>曹慧中</dc:creator>
  <cp:lastModifiedBy>杨尚雷</cp:lastModifiedBy>
  <dcterms:modified xsi:type="dcterms:W3CDTF">2025-04-11T08:11:25Z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eyJoZGlkIjoiZDEzNzY2MjA3OGQ2NjgzMjg1OGUyNTEyNDAxMjQyOWYiLCJ1c2VySWQiOiIzMjQ0MDQxMTQifQ==</vt:lpwstr>
  </property>
  <property fmtid="{D5CDD505-2E9C-101B-9397-08002B2CF9AE}" pid="3" name="KSOProductBuildVer">
    <vt:lpwstr>2052-11.8.2.8276</vt:lpwstr>
  </property>
  <property fmtid="{D5CDD505-2E9C-101B-9397-08002B2CF9AE}" pid="4" name="ICV">
    <vt:lpwstr>9B4877AC978441B4B944E68D08927DDE_13</vt:lpwstr>
  </property>
</Properties>
</file>