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仿宋" w:hAnsi="仿宋" w:eastAsia="仿宋"/>
        </w:rPr>
      </w:pPr>
      <w:bookmarkStart w:id="0" w:name="_GoBack"/>
      <w:bookmarkEnd w:id="0"/>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ascii="仿宋" w:hAnsi="仿宋" w:eastAsia="仿宋"/>
        </w:rPr>
        <w:drawing>
          <wp:inline distT="0" distB="0" distL="0" distR="0">
            <wp:extent cx="5274310" cy="14439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l="17914" t="27890" r="33971" b="51007"/>
                    <a:stretch>
                      <a:fillRect/>
                    </a:stretch>
                  </pic:blipFill>
                  <pic:spPr>
                    <a:xfrm>
                      <a:off x="0" y="0"/>
                      <a:ext cx="5274310" cy="1444378"/>
                    </a:xfrm>
                    <a:prstGeom prst="rect">
                      <a:avLst/>
                    </a:prstGeom>
                    <a:noFill/>
                    <a:ln>
                      <a:noFill/>
                    </a:ln>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312" w:lineRule="auto"/>
        <w:jc w:val="center"/>
        <w:rPr>
          <w:rFonts w:hint="eastAsia" w:ascii="仿宋" w:hAnsi="仿宋" w:eastAsia="仿宋" w:cs="Times New Roman"/>
          <w:sz w:val="48"/>
          <w:szCs w:val="48"/>
          <w:lang w:eastAsia="zh-CN"/>
        </w:rPr>
      </w:pPr>
      <w:r>
        <w:rPr>
          <w:rFonts w:ascii="Times New Roman" w:hAnsi="Times New Roman" w:eastAsia="仿宋" w:cs="Times New Roman"/>
          <w:sz w:val="48"/>
          <w:szCs w:val="48"/>
        </w:rPr>
        <w:t>2019</w:t>
      </w:r>
      <w:r>
        <w:rPr>
          <w:rFonts w:ascii="仿宋" w:hAnsi="仿宋" w:eastAsia="仿宋" w:cs="Times New Roman"/>
          <w:sz w:val="48"/>
          <w:szCs w:val="48"/>
        </w:rPr>
        <w:t>-</w:t>
      </w:r>
      <w:r>
        <w:rPr>
          <w:rFonts w:ascii="Times New Roman" w:hAnsi="Times New Roman" w:eastAsia="仿宋" w:cs="Times New Roman"/>
          <w:sz w:val="48"/>
          <w:szCs w:val="48"/>
        </w:rPr>
        <w:t>2020</w:t>
      </w:r>
      <w:r>
        <w:rPr>
          <w:rFonts w:hint="eastAsia" w:ascii="仿宋" w:hAnsi="仿宋" w:eastAsia="仿宋" w:cs="Times New Roman"/>
          <w:sz w:val="48"/>
          <w:szCs w:val="48"/>
        </w:rPr>
        <w:t>学年艺术教育发展年度报告</w:t>
      </w:r>
    </w:p>
    <w:p>
      <w:pPr>
        <w:spacing w:line="312" w:lineRule="auto"/>
        <w:jc w:val="center"/>
        <w:rPr>
          <w:rFonts w:hint="eastAsia" w:ascii="仿宋" w:hAnsi="仿宋" w:eastAsia="仿宋" w:cs="Times New Roman"/>
          <w:sz w:val="48"/>
          <w:szCs w:val="48"/>
          <w:lang w:eastAsia="zh-CN"/>
        </w:rPr>
      </w:pPr>
    </w:p>
    <w:p>
      <w:pPr>
        <w:widowControl/>
        <w:jc w:val="left"/>
        <w:rPr>
          <w:rFonts w:ascii="仿宋" w:hAnsi="仿宋" w:eastAsia="仿宋"/>
          <w:sz w:val="36"/>
          <w:szCs w:val="36"/>
        </w:rPr>
      </w:pPr>
      <w:r>
        <w:rPr>
          <w:rFonts w:ascii="仿宋" w:hAnsi="仿宋" w:eastAsia="仿宋"/>
          <w:sz w:val="36"/>
          <w:szCs w:val="36"/>
        </w:rPr>
        <w:br w:type="page"/>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2019-2020学年，浙江工商大学艺术教育坚持以习近平新时代中国特色社会主义思想为指导，全面贯彻党的教育方针，坚持中国特色社会主义教育发展道路，坚持社会主义办学方向，将艺术教育作为促进人才培养、提升大学生综合素质的重要环节，切实改进艺术教育工作的方式方法，努力开创校园艺术教育工作新局面。根据</w:t>
      </w:r>
      <w:r>
        <w:rPr>
          <w:rFonts w:hint="eastAsia" w:ascii="Times New Roman" w:hAnsi="Times New Roman" w:eastAsia="仿宋" w:cs="Times New Roman"/>
          <w:color w:val="000000" w:themeColor="text1"/>
          <w:kern w:val="0"/>
          <w:sz w:val="28"/>
          <w:szCs w:val="28"/>
          <w14:textFill>
            <w14:solidFill>
              <w14:schemeClr w14:val="tx1"/>
            </w14:solidFill>
          </w14:textFill>
        </w:rPr>
        <w:t>教育部</w:t>
      </w:r>
      <w:r>
        <w:rPr>
          <w:rFonts w:ascii="Times New Roman" w:hAnsi="Times New Roman" w:eastAsia="仿宋" w:cs="Times New Roman"/>
          <w:color w:val="000000" w:themeColor="text1"/>
          <w:kern w:val="0"/>
          <w:sz w:val="28"/>
          <w:szCs w:val="28"/>
          <w14:textFill>
            <w14:solidFill>
              <w14:schemeClr w14:val="tx1"/>
            </w14:solidFill>
          </w14:textFill>
        </w:rPr>
        <w:t>《关于切实加强新时代高等学校美育工作的意见》（教体艺[2019] 2号）、《关于推进学校艺术教育发展的若干意见》（教体艺[2014] 1号）文件精神，现就2019-2020学年艺术课程建设、专业人才培养、艺术教师配备、艺术教育管理、课外艺术活动等工作总结如下：</w:t>
      </w:r>
    </w:p>
    <w:p>
      <w:pPr>
        <w:spacing w:line="288" w:lineRule="auto"/>
        <w:ind w:firstLine="562" w:firstLineChars="200"/>
        <w:rPr>
          <w:rFonts w:ascii="仿宋" w:hAnsi="仿宋" w:eastAsia="仿宋" w:cs="Times New Roman"/>
          <w:b/>
          <w:color w:val="000000" w:themeColor="text1"/>
          <w:kern w:val="0"/>
          <w:sz w:val="28"/>
          <w:szCs w:val="28"/>
          <w14:textFill>
            <w14:solidFill>
              <w14:schemeClr w14:val="tx1"/>
            </w14:solidFill>
          </w14:textFill>
        </w:rPr>
      </w:pPr>
      <w:r>
        <w:rPr>
          <w:rFonts w:ascii="仿宋" w:hAnsi="仿宋" w:eastAsia="仿宋" w:cs="Times New Roman"/>
          <w:b/>
          <w:color w:val="000000" w:themeColor="text1"/>
          <w:kern w:val="0"/>
          <w:sz w:val="28"/>
          <w:szCs w:val="28"/>
          <w14:textFill>
            <w14:solidFill>
              <w14:schemeClr w14:val="tx1"/>
            </w14:solidFill>
          </w14:textFill>
        </w:rPr>
        <w:t>一、艺术课程建设情况</w:t>
      </w:r>
    </w:p>
    <w:p>
      <w:pPr>
        <w:spacing w:line="288" w:lineRule="auto"/>
        <w:ind w:firstLine="560" w:firstLineChars="200"/>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2019-2020</w:t>
      </w:r>
      <w:r>
        <w:rPr>
          <w:rFonts w:ascii="仿宋" w:hAnsi="仿宋" w:eastAsia="仿宋" w:cs="Times New Roman"/>
          <w:color w:val="000000" w:themeColor="text1"/>
          <w:kern w:val="0"/>
          <w:sz w:val="28"/>
          <w:szCs w:val="28"/>
          <w14:textFill>
            <w14:solidFill>
              <w14:schemeClr w14:val="tx1"/>
            </w14:solidFill>
          </w14:textFill>
        </w:rPr>
        <w:t>学年，学校开设</w:t>
      </w:r>
      <w:r>
        <w:rPr>
          <w:rFonts w:hint="eastAsia" w:ascii="仿宋" w:hAnsi="仿宋" w:eastAsia="仿宋" w:cs="Times New Roman"/>
          <w:color w:val="000000" w:themeColor="text1"/>
          <w:kern w:val="0"/>
          <w:sz w:val="28"/>
          <w:szCs w:val="28"/>
          <w14:textFill>
            <w14:solidFill>
              <w14:schemeClr w14:val="tx1"/>
            </w14:solidFill>
          </w14:textFill>
        </w:rPr>
        <w:t>了《创意舞蹈——开启肢体对话》</w:t>
      </w:r>
      <w:r>
        <w:rPr>
          <w:rFonts w:ascii="仿宋" w:hAnsi="仿宋" w:eastAsia="仿宋" w:cs="Times New Roman"/>
          <w:color w:val="000000" w:themeColor="text1"/>
          <w:kern w:val="0"/>
          <w:sz w:val="28"/>
          <w:szCs w:val="28"/>
          <w14:textFill>
            <w14:solidFill>
              <w14:schemeClr w14:val="tx1"/>
            </w14:solidFill>
          </w14:textFill>
        </w:rPr>
        <w:t>《声乐基础》《形体训练》《音乐剧</w:t>
      </w:r>
      <w:r>
        <w:rPr>
          <w:rFonts w:hint="eastAsia" w:ascii="仿宋" w:hAnsi="仿宋" w:eastAsia="仿宋" w:cs="Times New Roman"/>
          <w:color w:val="000000" w:themeColor="text1"/>
          <w:kern w:val="0"/>
          <w:sz w:val="28"/>
          <w:szCs w:val="28"/>
          <w14:textFill>
            <w14:solidFill>
              <w14:schemeClr w14:val="tx1"/>
            </w14:solidFill>
          </w14:textFill>
        </w:rPr>
        <w:t>欣</w:t>
      </w:r>
      <w:r>
        <w:rPr>
          <w:rFonts w:ascii="仿宋" w:hAnsi="仿宋" w:eastAsia="仿宋" w:cs="Times New Roman"/>
          <w:color w:val="000000" w:themeColor="text1"/>
          <w:kern w:val="0"/>
          <w:sz w:val="28"/>
          <w:szCs w:val="28"/>
          <w14:textFill>
            <w14:solidFill>
              <w14:schemeClr w14:val="tx1"/>
            </w14:solidFill>
          </w14:textFill>
        </w:rPr>
        <w:t>赏》《歌剧鉴赏》《中国</w:t>
      </w:r>
      <w:r>
        <w:rPr>
          <w:rFonts w:hint="eastAsia" w:ascii="仿宋" w:hAnsi="仿宋" w:eastAsia="仿宋" w:cs="Times New Roman"/>
          <w:color w:val="000000" w:themeColor="text1"/>
          <w:kern w:val="0"/>
          <w:sz w:val="28"/>
          <w:szCs w:val="28"/>
          <w14:textFill>
            <w14:solidFill>
              <w14:schemeClr w14:val="tx1"/>
            </w14:solidFill>
          </w14:textFill>
        </w:rPr>
        <w:t>民族</w:t>
      </w:r>
      <w:r>
        <w:rPr>
          <w:rFonts w:ascii="仿宋" w:hAnsi="仿宋" w:eastAsia="仿宋" w:cs="Times New Roman"/>
          <w:color w:val="000000" w:themeColor="text1"/>
          <w:kern w:val="0"/>
          <w:sz w:val="28"/>
          <w:szCs w:val="28"/>
          <w14:textFill>
            <w14:solidFill>
              <w14:schemeClr w14:val="tx1"/>
            </w14:solidFill>
          </w14:textFill>
        </w:rPr>
        <w:t>音乐文化之旅》《</w:t>
      </w:r>
      <w:r>
        <w:rPr>
          <w:rFonts w:hint="eastAsia" w:ascii="仿宋" w:hAnsi="仿宋" w:eastAsia="仿宋" w:cs="Times New Roman"/>
          <w:color w:val="000000" w:themeColor="text1"/>
          <w:kern w:val="0"/>
          <w:sz w:val="28"/>
          <w:szCs w:val="28"/>
          <w14:textFill>
            <w14:solidFill>
              <w14:schemeClr w14:val="tx1"/>
            </w14:solidFill>
          </w14:textFill>
        </w:rPr>
        <w:t>经典话剧鉴赏》</w:t>
      </w:r>
      <w:r>
        <w:rPr>
          <w:rFonts w:ascii="仿宋" w:hAnsi="仿宋" w:eastAsia="仿宋" w:cs="Times New Roman"/>
          <w:color w:val="000000" w:themeColor="text1"/>
          <w:kern w:val="0"/>
          <w:sz w:val="28"/>
          <w:szCs w:val="28"/>
          <w14:textFill>
            <w14:solidFill>
              <w14:schemeClr w14:val="tx1"/>
            </w14:solidFill>
          </w14:textFill>
        </w:rPr>
        <w:t>《</w:t>
      </w:r>
      <w:r>
        <w:rPr>
          <w:rFonts w:hint="eastAsia" w:ascii="仿宋" w:hAnsi="仿宋" w:eastAsia="仿宋" w:cs="Times New Roman"/>
          <w:color w:val="000000" w:themeColor="text1"/>
          <w:kern w:val="0"/>
          <w:sz w:val="28"/>
          <w:szCs w:val="28"/>
          <w14:textFill>
            <w14:solidFill>
              <w14:schemeClr w14:val="tx1"/>
            </w14:solidFill>
          </w14:textFill>
        </w:rPr>
        <w:t>艺术与审美—设计与生活</w:t>
      </w:r>
      <w:r>
        <w:rPr>
          <w:rFonts w:ascii="仿宋" w:hAnsi="仿宋" w:eastAsia="仿宋" w:cs="Times New Roman"/>
          <w:color w:val="000000" w:themeColor="text1"/>
          <w:kern w:val="0"/>
          <w:sz w:val="28"/>
          <w:szCs w:val="28"/>
          <w14:textFill>
            <w14:solidFill>
              <w14:schemeClr w14:val="tx1"/>
            </w14:solidFill>
          </w14:textFill>
        </w:rPr>
        <w:t>》</w:t>
      </w:r>
      <w:r>
        <w:rPr>
          <w:rFonts w:hint="eastAsia" w:ascii="仿宋" w:hAnsi="仿宋" w:eastAsia="仿宋" w:cs="Times New Roman"/>
          <w:color w:val="000000" w:themeColor="text1"/>
          <w:kern w:val="0"/>
          <w:sz w:val="28"/>
          <w:szCs w:val="28"/>
          <w14:textFill>
            <w14:solidFill>
              <w14:schemeClr w14:val="tx1"/>
            </w14:solidFill>
          </w14:textFill>
        </w:rPr>
        <w:t>《美学原理》《</w:t>
      </w:r>
      <w:r>
        <w:rPr>
          <w:rFonts w:ascii="仿宋" w:hAnsi="仿宋" w:eastAsia="仿宋" w:cs="Times New Roman"/>
          <w:color w:val="000000" w:themeColor="text1"/>
          <w:kern w:val="0"/>
          <w:sz w:val="28"/>
          <w:szCs w:val="28"/>
          <w14:textFill>
            <w14:solidFill>
              <w14:schemeClr w14:val="tx1"/>
            </w14:solidFill>
          </w14:textFill>
        </w:rPr>
        <w:t>影武者—动作片与电影美学赏析</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声乐艺术与演唱技巧</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等十余门艺术类通识课程和任意选修课</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开设</w:t>
      </w:r>
      <w:r>
        <w:rPr>
          <w:rFonts w:hint="eastAsia" w:ascii="仿宋" w:hAnsi="仿宋" w:eastAsia="仿宋" w:cs="Times New Roman"/>
          <w:color w:val="000000" w:themeColor="text1"/>
          <w:kern w:val="0"/>
          <w:sz w:val="28"/>
          <w:szCs w:val="28"/>
          <w14:textFill>
            <w14:solidFill>
              <w14:schemeClr w14:val="tx1"/>
            </w14:solidFill>
          </w14:textFill>
        </w:rPr>
        <w:t>了</w:t>
      </w:r>
      <w:r>
        <w:rPr>
          <w:rFonts w:ascii="仿宋" w:hAnsi="仿宋" w:eastAsia="仿宋" w:cs="Times New Roman"/>
          <w:color w:val="000000" w:themeColor="text1"/>
          <w:kern w:val="0"/>
          <w:sz w:val="28"/>
          <w:szCs w:val="28"/>
          <w14:textFill>
            <w14:solidFill>
              <w14:schemeClr w14:val="tx1"/>
            </w14:solidFill>
          </w14:textFill>
        </w:rPr>
        <w:t>第二课堂的“艺术实践课”课程</w:t>
      </w:r>
      <w:r>
        <w:rPr>
          <w:rFonts w:hint="eastAsia" w:ascii="仿宋" w:hAnsi="仿宋" w:eastAsia="仿宋" w:cs="Times New Roman"/>
          <w:color w:val="000000" w:themeColor="text1"/>
          <w:kern w:val="0"/>
          <w:sz w:val="28"/>
          <w:szCs w:val="28"/>
          <w14:textFill>
            <w14:solidFill>
              <w14:schemeClr w14:val="tx1"/>
            </w14:solidFill>
          </w14:textFill>
        </w:rPr>
        <w:t>，包括《声乐基础》《舞蹈剧目排练》《民族器乐融合演奏》</w:t>
      </w:r>
      <w:r>
        <w:rPr>
          <w:rFonts w:ascii="仿宋" w:hAnsi="仿宋" w:eastAsia="仿宋" w:cs="Times New Roman"/>
          <w:color w:val="000000" w:themeColor="text1"/>
          <w:kern w:val="0"/>
          <w:sz w:val="28"/>
          <w:szCs w:val="28"/>
          <w14:textFill>
            <w14:solidFill>
              <w14:schemeClr w14:val="tx1"/>
            </w14:solidFill>
          </w14:textFill>
        </w:rPr>
        <w:t>《</w:t>
      </w:r>
      <w:r>
        <w:rPr>
          <w:rFonts w:hint="eastAsia" w:ascii="仿宋" w:hAnsi="仿宋" w:eastAsia="仿宋" w:cs="Times New Roman"/>
          <w:color w:val="000000" w:themeColor="text1"/>
          <w:kern w:val="0"/>
          <w:sz w:val="28"/>
          <w:szCs w:val="28"/>
          <w14:textFill>
            <w14:solidFill>
              <w14:schemeClr w14:val="tx1"/>
            </w14:solidFill>
          </w14:textFill>
        </w:rPr>
        <w:t>话剧表演》</w:t>
      </w:r>
      <w:r>
        <w:rPr>
          <w:rFonts w:ascii="仿宋" w:hAnsi="仿宋" w:eastAsia="仿宋" w:cs="Times New Roman"/>
          <w:color w:val="000000" w:themeColor="text1"/>
          <w:kern w:val="0"/>
          <w:sz w:val="28"/>
          <w:szCs w:val="28"/>
          <w14:textFill>
            <w14:solidFill>
              <w14:schemeClr w14:val="tx1"/>
            </w14:solidFill>
          </w14:textFill>
        </w:rPr>
        <w:t>《管乐</w:t>
      </w:r>
      <w:r>
        <w:rPr>
          <w:rFonts w:hint="eastAsia" w:ascii="仿宋" w:hAnsi="仿宋" w:eastAsia="仿宋" w:cs="Times New Roman"/>
          <w:color w:val="000000" w:themeColor="text1"/>
          <w:kern w:val="0"/>
          <w:sz w:val="28"/>
          <w:szCs w:val="28"/>
          <w14:textFill>
            <w14:solidFill>
              <w14:schemeClr w14:val="tx1"/>
            </w14:solidFill>
          </w14:textFill>
        </w:rPr>
        <w:t>合奏艺术》</w:t>
      </w:r>
      <w:r>
        <w:rPr>
          <w:rFonts w:ascii="仿宋" w:hAnsi="仿宋" w:eastAsia="仿宋" w:cs="Times New Roman"/>
          <w:color w:val="000000" w:themeColor="text1"/>
          <w:kern w:val="0"/>
          <w:sz w:val="28"/>
          <w:szCs w:val="28"/>
          <w14:textFill>
            <w14:solidFill>
              <w14:schemeClr w14:val="tx1"/>
            </w14:solidFill>
          </w14:textFill>
        </w:rPr>
        <w:t>《</w:t>
      </w:r>
      <w:r>
        <w:rPr>
          <w:rFonts w:hint="eastAsia" w:ascii="仿宋" w:hAnsi="仿宋" w:eastAsia="仿宋" w:cs="Times New Roman"/>
          <w:color w:val="000000" w:themeColor="text1"/>
          <w:kern w:val="0"/>
          <w:sz w:val="28"/>
          <w:szCs w:val="28"/>
          <w14:textFill>
            <w14:solidFill>
              <w14:schemeClr w14:val="tx1"/>
            </w14:solidFill>
          </w14:textFill>
        </w:rPr>
        <w:t>室内乐漫谈》等</w:t>
      </w:r>
      <w:r>
        <w:rPr>
          <w:rFonts w:ascii="仿宋" w:hAnsi="仿宋" w:eastAsia="仿宋" w:cs="Times New Roman"/>
          <w:color w:val="000000" w:themeColor="text1"/>
          <w:kern w:val="0"/>
          <w:sz w:val="28"/>
          <w:szCs w:val="28"/>
          <w14:textFill>
            <w14:solidFill>
              <w14:schemeClr w14:val="tx1"/>
            </w14:solidFill>
          </w14:textFill>
        </w:rPr>
        <w:t>六个种类</w:t>
      </w:r>
      <w:r>
        <w:rPr>
          <w:rFonts w:hint="eastAsia" w:ascii="仿宋" w:hAnsi="仿宋" w:eastAsia="仿宋" w:cs="Times New Roman"/>
          <w:color w:val="000000" w:themeColor="text1"/>
          <w:kern w:val="0"/>
          <w:sz w:val="28"/>
          <w:szCs w:val="28"/>
          <w14:textFill>
            <w14:solidFill>
              <w14:schemeClr w14:val="tx1"/>
            </w14:solidFill>
          </w14:textFill>
        </w:rPr>
        <w:t>的24门课程</w:t>
      </w:r>
      <w:r>
        <w:rPr>
          <w:rFonts w:ascii="仿宋" w:hAnsi="仿宋" w:eastAsia="仿宋" w:cs="Times New Roman"/>
          <w:color w:val="000000" w:themeColor="text1"/>
          <w:kern w:val="0"/>
          <w:sz w:val="28"/>
          <w:szCs w:val="28"/>
          <w14:textFill>
            <w14:solidFill>
              <w14:schemeClr w14:val="tx1"/>
            </w14:solidFill>
          </w14:textFill>
        </w:rPr>
        <w:t>，多样化的公共艺术体验课程，对提高大学生的艺术感受力、鉴赏力和创造力，加强大学生人文素质教育起到了良好的作用。</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学校与艺术设计学院合作，开设了《</w:t>
      </w:r>
      <w:r>
        <w:rPr>
          <w:rFonts w:ascii="Times New Roman" w:hAnsi="Times New Roman" w:eastAsia="仿宋" w:cs="Times New Roman"/>
          <w:color w:val="000000" w:themeColor="text1"/>
          <w:kern w:val="0"/>
          <w:sz w:val="28"/>
          <w:szCs w:val="28"/>
          <w14:textFill>
            <w14:solidFill>
              <w14:schemeClr w14:val="tx1"/>
            </w14:solidFill>
          </w14:textFill>
        </w:rPr>
        <w:t>书籍形态与纸本制作</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书法艺术与实践</w:t>
      </w:r>
      <w:r>
        <w:rPr>
          <w:rFonts w:hint="eastAsia" w:ascii="Times New Roman" w:hAnsi="Times New Roman" w:eastAsia="仿宋" w:cs="Times New Roman"/>
          <w:color w:val="000000" w:themeColor="text1"/>
          <w:kern w:val="0"/>
          <w:sz w:val="28"/>
          <w:szCs w:val="28"/>
          <w14:textFill>
            <w14:solidFill>
              <w14:schemeClr w14:val="tx1"/>
            </w14:solidFill>
          </w14:textFill>
        </w:rPr>
        <w:t>》等1</w:t>
      </w:r>
      <w:r>
        <w:rPr>
          <w:rFonts w:ascii="Times New Roman" w:hAnsi="Times New Roman" w:eastAsia="仿宋" w:cs="Times New Roman"/>
          <w:color w:val="000000" w:themeColor="text1"/>
          <w:kern w:val="0"/>
          <w:sz w:val="28"/>
          <w:szCs w:val="28"/>
          <w14:textFill>
            <w14:solidFill>
              <w14:schemeClr w14:val="tx1"/>
            </w14:solidFill>
          </w14:textFill>
        </w:rPr>
        <w:t>0</w:t>
      </w:r>
      <w:r>
        <w:rPr>
          <w:rFonts w:hint="eastAsia" w:ascii="Times New Roman" w:hAnsi="Times New Roman" w:eastAsia="仿宋" w:cs="Times New Roman"/>
          <w:color w:val="000000" w:themeColor="text1"/>
          <w:kern w:val="0"/>
          <w:sz w:val="28"/>
          <w:szCs w:val="28"/>
          <w14:textFill>
            <w14:solidFill>
              <w14:schemeClr w14:val="tx1"/>
            </w14:solidFill>
          </w14:textFill>
        </w:rPr>
        <w:t>门艺术体验通识选修课程，通识艺术体验课程的创建，对提升学生艺术实践能力、增强学生审美能力都提到促进作用，同时构建教师教学研究团队，在优势互补、共同发展的基础上与艺术设计学院展开全面合作。争取产生一批有利于我校通识教育教学的优秀研究成果。</w:t>
      </w:r>
    </w:p>
    <w:p>
      <w:pPr>
        <w:spacing w:line="288" w:lineRule="auto"/>
        <w:ind w:firstLine="560" w:firstLineChars="200"/>
        <w:rPr>
          <w:rFonts w:ascii="Times New Roman" w:hAnsi="Times New Roman" w:eastAsia="仿宋" w:cs="Times New Roman"/>
          <w:color w:val="000000" w:themeColor="text1"/>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学校通识教育</w:t>
      </w:r>
      <w:r>
        <w:rPr>
          <w:rFonts w:hint="eastAsia" w:ascii="仿宋" w:hAnsi="仿宋" w:eastAsia="仿宋" w:cs="Times New Roman"/>
          <w:color w:val="000000" w:themeColor="text1"/>
          <w:kern w:val="0"/>
          <w:sz w:val="28"/>
          <w:szCs w:val="28"/>
          <w14:textFill>
            <w14:solidFill>
              <w14:schemeClr w14:val="tx1"/>
            </w14:solidFill>
          </w14:textFill>
        </w:rPr>
        <w:t>设置</w:t>
      </w:r>
      <w:r>
        <w:rPr>
          <w:rFonts w:ascii="仿宋" w:hAnsi="仿宋" w:eastAsia="仿宋" w:cs="Times New Roman"/>
          <w:color w:val="000000" w:themeColor="text1"/>
          <w:kern w:val="0"/>
          <w:sz w:val="28"/>
          <w:szCs w:val="28"/>
          <w14:textFill>
            <w14:solidFill>
              <w14:schemeClr w14:val="tx1"/>
            </w14:solidFill>
          </w14:textFill>
        </w:rPr>
        <w:t>“文学</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历史</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哲学、艺术</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宗教</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文化、经济</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管理</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法律、写作</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认知</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表达、自然</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工程</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技术、创新</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创意</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创业”六个模块。其中，文科类学生需选修“自然</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工程</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技术”学分、理工类学生需选修“文学</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历史</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哲学”学分，非经管法类学生需选修“经济</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管理</w:t>
      </w:r>
      <w:r>
        <w:rPr>
          <w:rFonts w:hint="eastAsia" w:ascii="MS Mincho" w:hAnsi="MS Mincho" w:eastAsia="MS Mincho" w:cs="MS Mincho"/>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法律”学分。</w:t>
      </w:r>
      <w:r>
        <w:rPr>
          <w:rFonts w:ascii="Times New Roman" w:hAnsi="Times New Roman" w:eastAsia="仿宋" w:cs="Times New Roman"/>
          <w:color w:val="000000" w:themeColor="text1"/>
          <w:kern w:val="0"/>
          <w:sz w:val="28"/>
          <w:szCs w:val="28"/>
          <w14:textFill>
            <w14:solidFill>
              <w14:schemeClr w14:val="tx1"/>
            </w14:solidFill>
          </w14:textFill>
        </w:rPr>
        <w:t xml:space="preserve"> </w:t>
      </w:r>
      <w:r>
        <w:rPr>
          <w:rFonts w:hint="eastAsia" w:ascii="Times New Roman" w:hAnsi="Times New Roman" w:eastAsia="仿宋" w:cs="Times New Roman"/>
          <w:color w:val="000000" w:themeColor="text1"/>
          <w:kern w:val="0"/>
          <w:sz w:val="28"/>
          <w:szCs w:val="28"/>
          <w14:textFill>
            <w14:solidFill>
              <w14:schemeClr w14:val="tx1"/>
            </w14:solidFill>
          </w14:textFill>
        </w:rPr>
        <w:t>2019-2020学年，全校共开设艺术类主修课219门，选课人数8193人次。艺术·宗教·文化类通识选修课70门，选课人数4323人次。</w:t>
      </w:r>
    </w:p>
    <w:p>
      <w:pPr>
        <w:spacing w:line="288" w:lineRule="auto"/>
        <w:ind w:firstLine="562" w:firstLineChars="200"/>
        <w:rPr>
          <w:rFonts w:ascii="仿宋" w:hAnsi="仿宋" w:eastAsia="仿宋" w:cs="Times New Roman"/>
          <w:b/>
          <w:color w:val="000000" w:themeColor="text1"/>
          <w:kern w:val="0"/>
          <w:sz w:val="28"/>
          <w:szCs w:val="28"/>
          <w14:textFill>
            <w14:solidFill>
              <w14:schemeClr w14:val="tx1"/>
            </w14:solidFill>
          </w14:textFill>
        </w:rPr>
      </w:pPr>
      <w:r>
        <w:rPr>
          <w:rFonts w:ascii="仿宋" w:hAnsi="仿宋" w:eastAsia="仿宋" w:cs="Times New Roman"/>
          <w:b/>
          <w:color w:val="000000" w:themeColor="text1"/>
          <w:kern w:val="0"/>
          <w:sz w:val="28"/>
          <w:szCs w:val="28"/>
          <w14:textFill>
            <w14:solidFill>
              <w14:schemeClr w14:val="tx1"/>
            </w14:solidFill>
          </w14:textFill>
        </w:rPr>
        <w:t>二、艺术专业人才培养</w:t>
      </w:r>
    </w:p>
    <w:p>
      <w:pPr>
        <w:snapToGrid w:val="0"/>
        <w:spacing w:line="360" w:lineRule="auto"/>
        <w:ind w:firstLine="560" w:firstLineChars="200"/>
        <w:rPr>
          <w:rFonts w:ascii="仿宋" w:hAnsi="仿宋" w:eastAsia="仿宋" w:cs="Times New Roman"/>
          <w:bCs/>
          <w:color w:val="000000" w:themeColor="text1"/>
          <w:kern w:val="0"/>
          <w:sz w:val="28"/>
          <w:szCs w:val="28"/>
          <w14:textFill>
            <w14:solidFill>
              <w14:schemeClr w14:val="tx1"/>
            </w14:solidFill>
          </w14:textFill>
        </w:rPr>
      </w:pPr>
      <w:r>
        <w:rPr>
          <w:rFonts w:ascii="仿宋" w:hAnsi="仿宋" w:eastAsia="仿宋" w:cs="Times New Roman"/>
          <w:bCs/>
          <w:color w:val="000000" w:themeColor="text1"/>
          <w:kern w:val="0"/>
          <w:sz w:val="28"/>
          <w:szCs w:val="28"/>
          <w14:textFill>
            <w14:solidFill>
              <w14:schemeClr w14:val="tx1"/>
            </w14:solidFill>
          </w14:textFill>
        </w:rPr>
        <w:t>（一）艺术设计学院概况</w:t>
      </w:r>
    </w:p>
    <w:p>
      <w:pPr>
        <w:snapToGrid w:val="0"/>
        <w:spacing w:line="360" w:lineRule="auto"/>
        <w:ind w:firstLine="560" w:firstLineChars="200"/>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艺术设计学院在学校</w:t>
      </w:r>
      <w:r>
        <w:rPr>
          <w:rFonts w:hint="eastAsia" w:ascii="仿宋" w:hAnsi="仿宋" w:eastAsia="仿宋" w:cs="Times New Roman"/>
          <w:color w:val="000000" w:themeColor="text1"/>
          <w:kern w:val="0"/>
          <w:sz w:val="28"/>
          <w:szCs w:val="28"/>
          <w14:textFill>
            <w14:solidFill>
              <w14:schemeClr w14:val="tx1"/>
            </w14:solidFill>
          </w14:textFill>
        </w:rPr>
        <w:t>“大商科”</w:t>
      </w:r>
      <w:r>
        <w:rPr>
          <w:rFonts w:ascii="仿宋" w:hAnsi="仿宋" w:eastAsia="仿宋" w:cs="Times New Roman"/>
          <w:color w:val="000000" w:themeColor="text1"/>
          <w:kern w:val="0"/>
          <w:sz w:val="28"/>
          <w:szCs w:val="28"/>
          <w14:textFill>
            <w14:solidFill>
              <w14:schemeClr w14:val="tx1"/>
            </w14:solidFill>
          </w14:textFill>
        </w:rPr>
        <w:t>人才培养目标的引领下，秉持“开放、多元、国际”的办学思想，坚持“厚基础、精专业、高素质、重创新”的教学理念</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根据社会进步和专业发展现状，</w:t>
      </w:r>
      <w:r>
        <w:rPr>
          <w:rFonts w:hint="eastAsia" w:ascii="仿宋" w:hAnsi="仿宋" w:eastAsia="仿宋" w:cs="Times New Roman"/>
          <w:color w:val="000000" w:themeColor="text1"/>
          <w:kern w:val="0"/>
          <w:sz w:val="28"/>
          <w:szCs w:val="28"/>
          <w14:textFill>
            <w14:solidFill>
              <w14:schemeClr w14:val="tx1"/>
            </w14:solidFill>
          </w14:textFill>
        </w:rPr>
        <w:t>以“植入商科基因，设计赋能产业，艺商融通培养”为定位，致力于培养“多元融创设计能力”与“良好商业应用能力”深度融合的“双T型”艺术设计类创新创业人才。</w:t>
      </w:r>
    </w:p>
    <w:p>
      <w:pPr>
        <w:pStyle w:val="5"/>
        <w:shd w:val="clear" w:color="auto" w:fill="FFFFFF"/>
        <w:adjustRightInd w:val="0"/>
        <w:snapToGrid w:val="0"/>
        <w:spacing w:beforeAutospacing="0" w:afterAutospacing="0" w:line="360" w:lineRule="auto"/>
        <w:ind w:firstLine="48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学院拥有4个硕博学位点：二级学科博士点——文化产业与艺术管理，一级学科硕士点——设计学，专业学位硕士点——艺术硕士，交叉学科硕士点——设计管理。</w:t>
      </w:r>
    </w:p>
    <w:p>
      <w:pPr>
        <w:pStyle w:val="5"/>
        <w:shd w:val="clear" w:color="auto" w:fill="FFFFFF"/>
        <w:adjustRightInd w:val="0"/>
        <w:snapToGrid w:val="0"/>
        <w:spacing w:beforeAutospacing="0" w:afterAutospacing="0" w:line="360" w:lineRule="auto"/>
        <w:ind w:firstLine="48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学院建有5个本科专业：视觉传达设计、环境设计、数字媒体艺术、产品设计、美术学系。其中，视觉传达设计专业为省一流专业，浙江省“十三五”特色专业。</w:t>
      </w:r>
    </w:p>
    <w:p>
      <w:pPr>
        <w:pStyle w:val="5"/>
        <w:shd w:val="clear" w:color="auto" w:fill="FFFFFF"/>
        <w:adjustRightInd w:val="0"/>
        <w:snapToGrid w:val="0"/>
        <w:spacing w:beforeAutospacing="0" w:afterAutospacing="0" w:line="360" w:lineRule="auto"/>
        <w:ind w:firstLine="48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学院设有1个省级艺术实验教学示范中心：拥有大疆创新工作室、虚拟现实工作室、数字与智能化空间设计工作室等18个实践技能工作室</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同时建有30余个校外实习实践教学基地</w:t>
      </w:r>
      <w:r>
        <w:rPr>
          <w:rFonts w:hint="eastAsia" w:ascii="仿宋" w:hAnsi="仿宋" w:eastAsia="仿宋"/>
          <w:color w:val="000000" w:themeColor="text1"/>
          <w:sz w:val="28"/>
          <w:szCs w:val="28"/>
          <w:lang w:eastAsia="zh-CN"/>
          <w14:textFill>
            <w14:solidFill>
              <w14:schemeClr w14:val="tx1"/>
            </w14:solidFill>
          </w14:textFill>
        </w:rPr>
        <w:t>。</w:t>
      </w:r>
    </w:p>
    <w:p>
      <w:pPr>
        <w:pStyle w:val="5"/>
        <w:shd w:val="clear" w:color="auto" w:fill="FFFFFF"/>
        <w:adjustRightInd w:val="0"/>
        <w:snapToGrid w:val="0"/>
        <w:spacing w:beforeAutospacing="0" w:afterAutospacing="0" w:line="360" w:lineRule="auto"/>
        <w:ind w:firstLine="48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学院设有1个省级培育智库秘书处：浙江省文化产业创新发展研究院秘书处</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并设立浙江省商标品牌研究院等7个产学研协同平台，为艺术设计人才培养提供有力保障。</w:t>
      </w:r>
    </w:p>
    <w:p>
      <w:pPr>
        <w:pStyle w:val="5"/>
        <w:shd w:val="clear" w:color="auto" w:fill="FFFFFF"/>
        <w:adjustRightInd w:val="0"/>
        <w:snapToGrid w:val="0"/>
        <w:spacing w:beforeAutospacing="0" w:afterAutospacing="0" w:line="360" w:lineRule="auto"/>
        <w:ind w:firstLine="480"/>
        <w:jc w:val="both"/>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2019-2020学年</w:t>
      </w: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学院</w:t>
      </w:r>
      <w:r>
        <w:rPr>
          <w:rFonts w:hint="eastAsia" w:ascii="仿宋" w:hAnsi="仿宋" w:eastAsia="仿宋"/>
          <w:color w:val="000000" w:themeColor="text1"/>
          <w:sz w:val="28"/>
          <w:szCs w:val="28"/>
          <w14:textFill>
            <w14:solidFill>
              <w14:schemeClr w14:val="tx1"/>
            </w14:solidFill>
          </w14:textFill>
        </w:rPr>
        <w:t>共有在校生860人，其中本科生807人，研究生53人。</w:t>
      </w:r>
    </w:p>
    <w:p>
      <w:pPr>
        <w:pStyle w:val="5"/>
        <w:shd w:val="clear" w:color="auto" w:fill="FFFFFF"/>
        <w:adjustRightInd w:val="0"/>
        <w:snapToGrid w:val="0"/>
        <w:spacing w:beforeAutospacing="0" w:afterAutospacing="0" w:line="360" w:lineRule="auto"/>
        <w:ind w:firstLine="480"/>
        <w:jc w:val="both"/>
        <w:rPr>
          <w:rFonts w:ascii="仿宋" w:hAnsi="仿宋" w:eastAsia="仿宋" w:cs="Times New Roman"/>
          <w:bCs/>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二</w:t>
      </w: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s="Times New Roman"/>
          <w:bCs/>
          <w:color w:val="000000" w:themeColor="text1"/>
          <w:kern w:val="0"/>
          <w:sz w:val="28"/>
          <w:szCs w:val="28"/>
          <w14:textFill>
            <w14:solidFill>
              <w14:schemeClr w14:val="tx1"/>
            </w14:solidFill>
          </w14:textFill>
        </w:rPr>
        <w:t>艺术体验</w:t>
      </w:r>
      <w:r>
        <w:rPr>
          <w:rFonts w:hint="eastAsia" w:ascii="仿宋" w:hAnsi="仿宋" w:eastAsia="仿宋" w:cs="Times New Roman"/>
          <w:bCs/>
          <w:color w:val="000000" w:themeColor="text1"/>
          <w:kern w:val="0"/>
          <w:sz w:val="28"/>
          <w:szCs w:val="28"/>
          <w14:textFill>
            <w14:solidFill>
              <w14:schemeClr w14:val="tx1"/>
            </w14:solidFill>
          </w14:textFill>
        </w:rPr>
        <w:t>实践教育基地</w:t>
      </w:r>
    </w:p>
    <w:p>
      <w:pPr>
        <w:pStyle w:val="14"/>
        <w:ind w:firstLine="560"/>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艺术体验</w:t>
      </w:r>
      <w:r>
        <w:rPr>
          <w:rFonts w:hint="eastAsia" w:ascii="仿宋" w:hAnsi="仿宋" w:eastAsia="仿宋" w:cs="Times New Roman"/>
          <w:color w:val="000000" w:themeColor="text1"/>
          <w:kern w:val="0"/>
          <w:sz w:val="28"/>
          <w:szCs w:val="28"/>
          <w14:textFill>
            <w14:solidFill>
              <w14:schemeClr w14:val="tx1"/>
            </w14:solidFill>
          </w14:textFill>
        </w:rPr>
        <w:t>实践教育</w:t>
      </w:r>
      <w:r>
        <w:rPr>
          <w:rFonts w:ascii="仿宋" w:hAnsi="仿宋" w:eastAsia="仿宋" w:cs="Times New Roman"/>
          <w:color w:val="000000" w:themeColor="text1"/>
          <w:kern w:val="0"/>
          <w:sz w:val="28"/>
          <w:szCs w:val="28"/>
          <w14:textFill>
            <w14:solidFill>
              <w14:schemeClr w14:val="tx1"/>
            </w14:solidFill>
          </w14:textFill>
        </w:rPr>
        <w:t>基地联动艺术体验课程</w:t>
      </w:r>
      <w:r>
        <w:rPr>
          <w:rFonts w:hint="eastAsia" w:ascii="仿宋" w:hAnsi="仿宋" w:eastAsia="仿宋" w:cs="Times New Roman"/>
          <w:color w:val="000000" w:themeColor="text1"/>
          <w:kern w:val="0"/>
          <w:sz w:val="28"/>
          <w:szCs w:val="28"/>
          <w14:textFill>
            <w14:solidFill>
              <w14:schemeClr w14:val="tx1"/>
            </w14:solidFill>
          </w14:textFill>
        </w:rPr>
        <w:t>建设</w:t>
      </w:r>
      <w:r>
        <w:rPr>
          <w:rFonts w:ascii="仿宋" w:hAnsi="仿宋" w:eastAsia="仿宋" w:cs="Times New Roman"/>
          <w:color w:val="000000" w:themeColor="text1"/>
          <w:kern w:val="0"/>
          <w:sz w:val="28"/>
          <w:szCs w:val="28"/>
          <w14:textFill>
            <w14:solidFill>
              <w14:schemeClr w14:val="tx1"/>
            </w14:solidFill>
          </w14:textFill>
        </w:rPr>
        <w:t>，服务</w:t>
      </w:r>
      <w:r>
        <w:rPr>
          <w:rFonts w:hint="eastAsia" w:ascii="仿宋" w:hAnsi="仿宋" w:eastAsia="仿宋" w:cs="Times New Roman"/>
          <w:color w:val="000000" w:themeColor="text1"/>
          <w:kern w:val="0"/>
          <w:sz w:val="28"/>
          <w:szCs w:val="28"/>
          <w14:textFill>
            <w14:solidFill>
              <w14:schemeClr w14:val="tx1"/>
            </w14:solidFill>
          </w14:textFill>
        </w:rPr>
        <w:t>学</w:t>
      </w:r>
      <w:r>
        <w:rPr>
          <w:rFonts w:ascii="仿宋" w:hAnsi="仿宋" w:eastAsia="仿宋" w:cs="Times New Roman"/>
          <w:color w:val="000000" w:themeColor="text1"/>
          <w:kern w:val="0"/>
          <w:sz w:val="28"/>
          <w:szCs w:val="28"/>
          <w14:textFill>
            <w14:solidFill>
              <w14:schemeClr w14:val="tx1"/>
            </w14:solidFill>
          </w14:textFill>
        </w:rPr>
        <w:t>校应用型、复合型、创新型</w:t>
      </w:r>
      <w:r>
        <w:rPr>
          <w:rFonts w:hint="eastAsia" w:ascii="仿宋" w:hAnsi="仿宋" w:eastAsia="仿宋" w:cs="Times New Roman"/>
          <w:color w:val="000000" w:themeColor="text1"/>
          <w:kern w:val="0"/>
          <w:sz w:val="28"/>
          <w:szCs w:val="28"/>
          <w14:textFill>
            <w14:solidFill>
              <w14:schemeClr w14:val="tx1"/>
            </w14:solidFill>
          </w14:textFill>
        </w:rPr>
        <w:t>人才培养目标。在面向学校的通识教学实践中以创新教学理论为先导，以通识艺术体验课堂为基础，以校内艺术体验教学成果展与社会美展为第二课堂，以作品讲评、研讨活动、体验式动手实践为方式，展开艺术体验实践教育，普惠全校学生群体，受益学生呈两位数倍增。通识教育艺术体验美育课程共设置34门，专业类型涵盖了艺术设计学院5个专业，涉及艺术学科绘画、雕塑、艺术设计、数字媒体艺术等门类。课程设置覆盖面广、通识性强，给学生的课程选择提供了广阔的空间。</w:t>
      </w:r>
    </w:p>
    <w:p>
      <w:pPr>
        <w:pStyle w:val="14"/>
        <w:ind w:firstLine="560"/>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通识艺术体验实践基地旨在打造拥有“多形式、多层次、多感官”体验，具有“一点多面、高频使用、广面辐射”特色的综合性艺术实践体验平台。经过两年多的建设，打造了以艺术展厅为体验主体，以绘画工作室、雕塑艺术工作室、传统文化综合体验实践工作室、校外写生基地、实习基地、艺术设计实验教学示范中心为补充的育人基地。多形式、多层次的艺术体验空间构成，对艺术体验实践的教学规模和实践多样性起到了重要的支撑作用。</w:t>
      </w:r>
      <w:r>
        <w:rPr>
          <w:rFonts w:hint="eastAsia" w:ascii="仿宋" w:hAnsi="仿宋" w:eastAsia="仿宋" w:cs="Times New Roman"/>
          <w:color w:val="000000" w:themeColor="text1"/>
          <w:kern w:val="0"/>
          <w:sz w:val="28"/>
          <w:szCs w:val="28"/>
          <w:lang w:eastAsia="zh-CN"/>
          <w14:textFill>
            <w14:solidFill>
              <w14:schemeClr w14:val="tx1"/>
            </w14:solidFill>
          </w14:textFill>
        </w:rPr>
        <w:t>本年度</w:t>
      </w:r>
      <w:r>
        <w:rPr>
          <w:rFonts w:hint="eastAsia" w:ascii="仿宋" w:hAnsi="仿宋" w:eastAsia="仿宋" w:cs="Times New Roman"/>
          <w:color w:val="000000" w:themeColor="text1"/>
          <w:kern w:val="0"/>
          <w:sz w:val="28"/>
          <w:szCs w:val="28"/>
          <w14:textFill>
            <w14:solidFill>
              <w14:schemeClr w14:val="tx1"/>
            </w14:solidFill>
          </w14:textFill>
        </w:rPr>
        <w:t>师生团队积极投入教学科研活动，获得系列成果，包括在特级期刊发表作品5人，发表一级期刊论文1篇，获省美协展览“学术提名奖”1项，获省哲学社会科学优秀成果二等奖1项，获浙江省教育厅“十三五”省级教改项目1项，获省级精品课程1项。此外，团队成员获其他各类奖项近20项，指导学生获奖30余项。</w:t>
      </w:r>
    </w:p>
    <w:p>
      <w:pPr>
        <w:pStyle w:val="14"/>
        <w:spacing w:line="288" w:lineRule="auto"/>
        <w:ind w:firstLine="560"/>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通识教育是以人为本的全面素质教育。近年来，</w:t>
      </w:r>
      <w:r>
        <w:rPr>
          <w:rFonts w:ascii="仿宋" w:hAnsi="仿宋" w:eastAsia="仿宋" w:cs="Times New Roman"/>
          <w:color w:val="000000" w:themeColor="text1"/>
          <w:kern w:val="0"/>
          <w:sz w:val="28"/>
          <w:szCs w:val="28"/>
          <w14:textFill>
            <w14:solidFill>
              <w14:schemeClr w14:val="tx1"/>
            </w14:solidFill>
          </w14:textFill>
        </w:rPr>
        <w:t>基地</w:t>
      </w:r>
      <w:r>
        <w:rPr>
          <w:rFonts w:hint="eastAsia" w:ascii="仿宋" w:hAnsi="仿宋" w:eastAsia="仿宋" w:cs="Times New Roman"/>
          <w:color w:val="000000" w:themeColor="text1"/>
          <w:kern w:val="0"/>
          <w:sz w:val="28"/>
          <w:szCs w:val="28"/>
          <w14:textFill>
            <w14:solidFill>
              <w14:schemeClr w14:val="tx1"/>
            </w14:solidFill>
          </w14:textFill>
        </w:rPr>
        <w:t>根据课程体系建设发展需求，持续推进“美育第二课堂”育人理念，积极策划美育课堂向社会延伸。通过深入生活、贴近人民、主动对接国家重大战略，基地充分发挥人才培养功能，构建公共美育素养培育高地，策动美育课程创新核心现场，践行“</w:t>
      </w:r>
      <w:r>
        <w:rPr>
          <w:rFonts w:ascii="仿宋" w:hAnsi="仿宋" w:eastAsia="仿宋" w:cs="Times New Roman"/>
          <w:color w:val="000000" w:themeColor="text1"/>
          <w:kern w:val="0"/>
          <w:sz w:val="28"/>
          <w:szCs w:val="28"/>
          <w14:textFill>
            <w14:solidFill>
              <w14:schemeClr w14:val="tx1"/>
            </w14:solidFill>
          </w14:textFill>
        </w:rPr>
        <w:t>大商科</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人才培养，为</w:t>
      </w:r>
      <w:r>
        <w:rPr>
          <w:rFonts w:hint="eastAsia" w:ascii="仿宋" w:hAnsi="仿宋" w:eastAsia="仿宋" w:cs="Times New Roman"/>
          <w:color w:val="000000" w:themeColor="text1"/>
          <w:kern w:val="0"/>
          <w:sz w:val="28"/>
          <w:szCs w:val="28"/>
          <w14:textFill>
            <w14:solidFill>
              <w14:schemeClr w14:val="tx1"/>
            </w14:solidFill>
          </w14:textFill>
        </w:rPr>
        <w:t>“立足浙江、服务国家、贡献人类”目标的</w:t>
      </w:r>
      <w:r>
        <w:rPr>
          <w:rFonts w:ascii="仿宋" w:hAnsi="仿宋" w:eastAsia="仿宋" w:cs="Times New Roman"/>
          <w:color w:val="000000" w:themeColor="text1"/>
          <w:kern w:val="0"/>
          <w:sz w:val="28"/>
          <w:szCs w:val="28"/>
          <w14:textFill>
            <w14:solidFill>
              <w14:schemeClr w14:val="tx1"/>
            </w14:solidFill>
          </w14:textFill>
        </w:rPr>
        <w:t>实现添砖加瓦</w:t>
      </w:r>
      <w:r>
        <w:rPr>
          <w:rFonts w:hint="eastAsia" w:ascii="仿宋" w:hAnsi="仿宋" w:eastAsia="仿宋" w:cs="Times New Roman"/>
          <w:color w:val="000000" w:themeColor="text1"/>
          <w:kern w:val="0"/>
          <w:sz w:val="28"/>
          <w:szCs w:val="28"/>
          <w14:textFill>
            <w14:solidFill>
              <w14:schemeClr w14:val="tx1"/>
            </w14:solidFill>
          </w14:textFill>
        </w:rPr>
        <w:t>。</w:t>
      </w:r>
    </w:p>
    <w:p>
      <w:pPr>
        <w:numPr>
          <w:ilvl w:val="0"/>
          <w:numId w:val="1"/>
        </w:numPr>
        <w:spacing w:line="288" w:lineRule="auto"/>
        <w:ind w:firstLine="560" w:firstLineChars="200"/>
        <w:rPr>
          <w:rFonts w:ascii="仿宋" w:hAnsi="仿宋" w:eastAsia="仿宋" w:cs="Times New Roman"/>
          <w:bCs/>
          <w:color w:val="000000" w:themeColor="text1"/>
          <w:kern w:val="0"/>
          <w:sz w:val="28"/>
          <w:szCs w:val="28"/>
          <w14:textFill>
            <w14:solidFill>
              <w14:schemeClr w14:val="tx1"/>
            </w14:solidFill>
          </w14:textFill>
        </w:rPr>
      </w:pPr>
      <w:r>
        <w:rPr>
          <w:rFonts w:ascii="仿宋" w:hAnsi="仿宋" w:eastAsia="仿宋" w:cs="Times New Roman"/>
          <w:bCs/>
          <w:color w:val="000000" w:themeColor="text1"/>
          <w:kern w:val="0"/>
          <w:sz w:val="28"/>
          <w:szCs w:val="28"/>
          <w14:textFill>
            <w14:solidFill>
              <w14:schemeClr w14:val="tx1"/>
            </w14:solidFill>
          </w14:textFill>
        </w:rPr>
        <w:t>优秀学生或作品</w:t>
      </w:r>
    </w:p>
    <w:p>
      <w:pPr>
        <w:pStyle w:val="14"/>
        <w:ind w:firstLine="560"/>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视觉传达设计系张星怡、贺琪作品《羽滑》获2019年度全国大学生广告艺术大赛一等奖。金朵飞与朱敬的海报作品《一针即破》获2019年度浙江省大学生多媒体设计竞赛一等奖。</w:t>
      </w:r>
    </w:p>
    <w:p>
      <w:pPr>
        <w:pStyle w:val="14"/>
        <w:ind w:firstLine="560"/>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数字媒体艺术系仪柯然作品《祖先的村落》获2019全国大学生计算机设计竞赛一等奖。蒋昕愉作品《光阴》获浙江省大学生摄影竞赛一等奖。吴瑞组（组员：谭广军、陈磊、彭乐融）作品《loong合不拢嘴IP形象设计》获2019年度中国包装创意设计大赛二等奖。</w:t>
      </w:r>
    </w:p>
    <w:p>
      <w:pPr>
        <w:pStyle w:val="14"/>
        <w:ind w:firstLine="560"/>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环境艺术系邵译乐组（组员：何容、詹玮泓、王景轮、方婷、金朵飞）、杨逸曼组（组员：叶梦洁、余静、翁利娜、黄晓文、陈语涵）的作品《“独味”：华联村稻米学院规划设计和温州市苍南县桥墩镇仙堂村鹅峰书院方案设计》获浙江省大学生乡村振兴创意大赛一等奖。</w:t>
      </w:r>
    </w:p>
    <w:p>
      <w:pPr>
        <w:pStyle w:val="14"/>
        <w:ind w:firstLine="560"/>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产品设计系高源组（组员：费雨薇、练正昀）作品《企愿车—趣味企鹅仿生童车设计》获2019年度第十届浙江省大学生工业设计竞赛一等奖。郑嘉露组（组员：赵晨、毛润秋）、董树组（组员：缪子凡、卓宸纬）、金晶组（组员：张嘉楠、王佳妮）三组同学作品分获二等奖。</w:t>
      </w:r>
    </w:p>
    <w:p>
      <w:pPr>
        <w:spacing w:line="288" w:lineRule="auto"/>
        <w:ind w:firstLine="562" w:firstLineChars="200"/>
        <w:rPr>
          <w:rFonts w:ascii="仿宋" w:hAnsi="仿宋" w:eastAsia="仿宋" w:cs="Times New Roman"/>
          <w:b/>
          <w:color w:val="000000" w:themeColor="text1"/>
          <w:kern w:val="0"/>
          <w:sz w:val="28"/>
          <w:szCs w:val="28"/>
          <w14:textFill>
            <w14:solidFill>
              <w14:schemeClr w14:val="tx1"/>
            </w14:solidFill>
          </w14:textFill>
        </w:rPr>
      </w:pPr>
      <w:r>
        <w:rPr>
          <w:rFonts w:ascii="仿宋" w:hAnsi="仿宋" w:eastAsia="仿宋" w:cs="Times New Roman"/>
          <w:b/>
          <w:color w:val="000000" w:themeColor="text1"/>
          <w:kern w:val="0"/>
          <w:sz w:val="28"/>
          <w:szCs w:val="28"/>
          <w14:textFill>
            <w14:solidFill>
              <w14:schemeClr w14:val="tx1"/>
            </w14:solidFill>
          </w14:textFill>
        </w:rPr>
        <w:t>三、艺术教师配备情况</w:t>
      </w:r>
    </w:p>
    <w:p>
      <w:pPr>
        <w:spacing w:line="288" w:lineRule="auto"/>
        <w:ind w:firstLine="560" w:firstLineChars="200"/>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艺术</w:t>
      </w:r>
      <w:r>
        <w:rPr>
          <w:rFonts w:hint="eastAsia" w:ascii="仿宋" w:hAnsi="仿宋" w:eastAsia="仿宋" w:cs="Times New Roman"/>
          <w:color w:val="000000" w:themeColor="text1"/>
          <w:kern w:val="0"/>
          <w:sz w:val="28"/>
          <w:szCs w:val="28"/>
          <w14:textFill>
            <w14:solidFill>
              <w14:schemeClr w14:val="tx1"/>
            </w14:solidFill>
          </w14:textFill>
        </w:rPr>
        <w:t>设计学院</w:t>
      </w:r>
      <w:r>
        <w:rPr>
          <w:rFonts w:ascii="仿宋" w:hAnsi="仿宋" w:eastAsia="仿宋" w:cs="Times New Roman"/>
          <w:color w:val="000000" w:themeColor="text1"/>
          <w:kern w:val="0"/>
          <w:sz w:val="28"/>
          <w:szCs w:val="28"/>
          <w14:textFill>
            <w14:solidFill>
              <w14:schemeClr w14:val="tx1"/>
            </w14:solidFill>
          </w14:textFill>
        </w:rPr>
        <w:t>现有专任教师</w:t>
      </w:r>
      <w:r>
        <w:rPr>
          <w:rFonts w:hint="eastAsia" w:ascii="Times New Roman" w:hAnsi="Times New Roman" w:eastAsia="仿宋" w:cs="Times New Roman"/>
          <w:color w:val="000000" w:themeColor="text1"/>
          <w:kern w:val="0"/>
          <w:sz w:val="28"/>
          <w:szCs w:val="28"/>
          <w14:textFill>
            <w14:solidFill>
              <w14:schemeClr w14:val="tx1"/>
            </w14:solidFill>
          </w14:textFill>
        </w:rPr>
        <w:t>69</w:t>
      </w:r>
      <w:r>
        <w:rPr>
          <w:rFonts w:ascii="仿宋" w:hAnsi="仿宋" w:eastAsia="仿宋" w:cs="Times New Roman"/>
          <w:color w:val="000000" w:themeColor="text1"/>
          <w:kern w:val="0"/>
          <w:sz w:val="28"/>
          <w:szCs w:val="28"/>
          <w14:textFill>
            <w14:solidFill>
              <w14:schemeClr w14:val="tx1"/>
            </w14:solidFill>
          </w14:textFill>
        </w:rPr>
        <w:t>名</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其中教授</w:t>
      </w:r>
      <w:r>
        <w:rPr>
          <w:rFonts w:ascii="Times New Roman" w:hAnsi="Times New Roman" w:eastAsia="仿宋" w:cs="Times New Roman"/>
          <w:color w:val="000000" w:themeColor="text1"/>
          <w:kern w:val="0"/>
          <w:sz w:val="28"/>
          <w:szCs w:val="28"/>
          <w14:textFill>
            <w14:solidFill>
              <w14:schemeClr w14:val="tx1"/>
            </w14:solidFill>
          </w14:textFill>
        </w:rPr>
        <w:t>7</w:t>
      </w:r>
      <w:r>
        <w:rPr>
          <w:rFonts w:ascii="仿宋" w:hAnsi="仿宋" w:eastAsia="仿宋" w:cs="Times New Roman"/>
          <w:color w:val="000000" w:themeColor="text1"/>
          <w:kern w:val="0"/>
          <w:sz w:val="28"/>
          <w:szCs w:val="28"/>
          <w14:textFill>
            <w14:solidFill>
              <w14:schemeClr w14:val="tx1"/>
            </w14:solidFill>
          </w14:textFill>
        </w:rPr>
        <w:t>名，副教授</w:t>
      </w:r>
      <w:r>
        <w:rPr>
          <w:rFonts w:ascii="Times New Roman" w:hAnsi="Times New Roman" w:eastAsia="仿宋" w:cs="Times New Roman"/>
          <w:color w:val="000000" w:themeColor="text1"/>
          <w:kern w:val="0"/>
          <w:sz w:val="28"/>
          <w:szCs w:val="28"/>
          <w14:textFill>
            <w14:solidFill>
              <w14:schemeClr w14:val="tx1"/>
            </w14:solidFill>
          </w14:textFill>
        </w:rPr>
        <w:t>27</w:t>
      </w:r>
      <w:r>
        <w:rPr>
          <w:rFonts w:ascii="仿宋" w:hAnsi="仿宋" w:eastAsia="仿宋" w:cs="Times New Roman"/>
          <w:color w:val="000000" w:themeColor="text1"/>
          <w:kern w:val="0"/>
          <w:sz w:val="28"/>
          <w:szCs w:val="28"/>
          <w14:textFill>
            <w14:solidFill>
              <w14:schemeClr w14:val="tx1"/>
            </w14:solidFill>
          </w14:textFill>
        </w:rPr>
        <w:t>名，讲师</w:t>
      </w:r>
      <w:r>
        <w:rPr>
          <w:rFonts w:ascii="Times New Roman" w:hAnsi="Times New Roman" w:eastAsia="仿宋" w:cs="Times New Roman"/>
          <w:color w:val="000000" w:themeColor="text1"/>
          <w:kern w:val="0"/>
          <w:sz w:val="28"/>
          <w:szCs w:val="28"/>
          <w14:textFill>
            <w14:solidFill>
              <w14:schemeClr w14:val="tx1"/>
            </w14:solidFill>
          </w14:textFill>
        </w:rPr>
        <w:t>3</w:t>
      </w:r>
      <w:r>
        <w:rPr>
          <w:rFonts w:hint="eastAsia" w:ascii="Times New Roman" w:hAnsi="Times New Roman" w:eastAsia="仿宋" w:cs="Times New Roman"/>
          <w:color w:val="000000" w:themeColor="text1"/>
          <w:kern w:val="0"/>
          <w:sz w:val="28"/>
          <w:szCs w:val="28"/>
          <w14:textFill>
            <w14:solidFill>
              <w14:schemeClr w14:val="tx1"/>
            </w14:solidFill>
          </w14:textFill>
        </w:rPr>
        <w:t>5</w:t>
      </w:r>
      <w:r>
        <w:rPr>
          <w:rFonts w:ascii="仿宋" w:hAnsi="仿宋" w:eastAsia="仿宋" w:cs="Times New Roman"/>
          <w:color w:val="000000" w:themeColor="text1"/>
          <w:kern w:val="0"/>
          <w:sz w:val="28"/>
          <w:szCs w:val="28"/>
          <w14:textFill>
            <w14:solidFill>
              <w14:schemeClr w14:val="tx1"/>
            </w14:solidFill>
          </w14:textFill>
        </w:rPr>
        <w:t>名</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另特聘教师</w:t>
      </w:r>
      <w:r>
        <w:rPr>
          <w:rFonts w:hint="eastAsia" w:ascii="仿宋" w:hAnsi="仿宋" w:eastAsia="仿宋" w:cs="Times New Roman"/>
          <w:color w:val="000000" w:themeColor="text1"/>
          <w:kern w:val="0"/>
          <w:sz w:val="28"/>
          <w:szCs w:val="28"/>
          <w14:textFill>
            <w14:solidFill>
              <w14:schemeClr w14:val="tx1"/>
            </w14:solidFill>
          </w14:textFill>
        </w:rPr>
        <w:t>4</w:t>
      </w:r>
      <w:r>
        <w:rPr>
          <w:rFonts w:ascii="仿宋" w:hAnsi="仿宋" w:eastAsia="仿宋" w:cs="Times New Roman"/>
          <w:color w:val="000000" w:themeColor="text1"/>
          <w:kern w:val="0"/>
          <w:sz w:val="28"/>
          <w:szCs w:val="28"/>
          <w14:textFill>
            <w14:solidFill>
              <w14:schemeClr w14:val="tx1"/>
            </w14:solidFill>
          </w14:textFill>
        </w:rPr>
        <w:t>名，</w:t>
      </w:r>
      <w:r>
        <w:rPr>
          <w:rFonts w:hint="eastAsia" w:ascii="仿宋" w:hAnsi="仿宋" w:eastAsia="仿宋" w:cs="Times New Roman"/>
          <w:color w:val="000000" w:themeColor="text1"/>
          <w:kern w:val="0"/>
          <w:sz w:val="28"/>
          <w:szCs w:val="28"/>
          <w14:textFill>
            <w14:solidFill>
              <w14:schemeClr w14:val="tx1"/>
            </w14:solidFill>
          </w14:textFill>
        </w:rPr>
        <w:t>柔性引进专家1名，</w:t>
      </w:r>
      <w:r>
        <w:rPr>
          <w:rFonts w:ascii="仿宋" w:hAnsi="仿宋" w:eastAsia="仿宋" w:cs="Times New Roman"/>
          <w:color w:val="000000" w:themeColor="text1"/>
          <w:kern w:val="0"/>
          <w:sz w:val="28"/>
          <w:szCs w:val="28"/>
          <w14:textFill>
            <w14:solidFill>
              <w14:schemeClr w14:val="tx1"/>
            </w14:solidFill>
          </w14:textFill>
        </w:rPr>
        <w:t>全部为国内</w:t>
      </w:r>
      <w:r>
        <w:rPr>
          <w:rFonts w:hint="eastAsia" w:ascii="仿宋" w:hAnsi="仿宋" w:eastAsia="仿宋" w:cs="Times New Roman"/>
          <w:color w:val="000000" w:themeColor="text1"/>
          <w:kern w:val="0"/>
          <w:sz w:val="28"/>
          <w:szCs w:val="28"/>
          <w14:textFill>
            <w14:solidFill>
              <w14:schemeClr w14:val="tx1"/>
            </w14:solidFill>
          </w14:textFill>
        </w:rPr>
        <w:t>外</w:t>
      </w:r>
      <w:r>
        <w:rPr>
          <w:rFonts w:ascii="仿宋" w:hAnsi="仿宋" w:eastAsia="仿宋" w:cs="Times New Roman"/>
          <w:color w:val="000000" w:themeColor="text1"/>
          <w:kern w:val="0"/>
          <w:sz w:val="28"/>
          <w:szCs w:val="28"/>
          <w14:textFill>
            <w14:solidFill>
              <w14:schemeClr w14:val="tx1"/>
            </w14:solidFill>
          </w14:textFill>
        </w:rPr>
        <w:t>知名院校教授；合作企业聘有实务导师</w:t>
      </w:r>
      <w:r>
        <w:rPr>
          <w:rFonts w:hint="eastAsia" w:ascii="Times New Roman" w:hAnsi="Times New Roman" w:eastAsia="仿宋" w:cs="Times New Roman"/>
          <w:color w:val="000000" w:themeColor="text1"/>
          <w:kern w:val="0"/>
          <w:sz w:val="28"/>
          <w:szCs w:val="28"/>
          <w14:textFill>
            <w14:solidFill>
              <w14:schemeClr w14:val="tx1"/>
            </w14:solidFill>
          </w14:textFill>
        </w:rPr>
        <w:t>5</w:t>
      </w:r>
      <w:r>
        <w:rPr>
          <w:rFonts w:ascii="仿宋" w:hAnsi="仿宋" w:eastAsia="仿宋" w:cs="Times New Roman"/>
          <w:color w:val="000000" w:themeColor="text1"/>
          <w:kern w:val="0"/>
          <w:sz w:val="28"/>
          <w:szCs w:val="28"/>
          <w14:textFill>
            <w14:solidFill>
              <w14:schemeClr w14:val="tx1"/>
            </w14:solidFill>
          </w14:textFill>
        </w:rPr>
        <w:t>名，</w:t>
      </w:r>
      <w:r>
        <w:rPr>
          <w:rFonts w:hint="eastAsia" w:ascii="仿宋" w:hAnsi="仿宋" w:eastAsia="仿宋" w:cs="Times New Roman"/>
          <w:color w:val="000000" w:themeColor="text1"/>
          <w:kern w:val="0"/>
          <w:sz w:val="28"/>
          <w:szCs w:val="28"/>
          <w14:textFill>
            <w14:solidFill>
              <w14:schemeClr w14:val="tx1"/>
            </w14:solidFill>
          </w14:textFill>
        </w:rPr>
        <w:t>均</w:t>
      </w:r>
      <w:r>
        <w:rPr>
          <w:rFonts w:ascii="仿宋" w:hAnsi="仿宋" w:eastAsia="仿宋" w:cs="Times New Roman"/>
          <w:color w:val="000000" w:themeColor="text1"/>
          <w:kern w:val="0"/>
          <w:sz w:val="28"/>
          <w:szCs w:val="28"/>
          <w14:textFill>
            <w14:solidFill>
              <w14:schemeClr w14:val="tx1"/>
            </w14:solidFill>
          </w14:textFill>
        </w:rPr>
        <w:t>为行业一线专家。</w:t>
      </w:r>
    </w:p>
    <w:p>
      <w:pPr>
        <w:spacing w:line="288" w:lineRule="auto"/>
        <w:jc w:val="center"/>
        <w:rPr>
          <w:rFonts w:ascii="仿宋" w:hAnsi="仿宋" w:eastAsia="仿宋" w:cs="Times New Roman"/>
          <w:b/>
          <w:color w:val="000000" w:themeColor="text1"/>
          <w:kern w:val="0"/>
          <w:sz w:val="24"/>
          <w:szCs w:val="28"/>
          <w14:textFill>
            <w14:solidFill>
              <w14:schemeClr w14:val="tx1"/>
            </w14:solidFill>
          </w14:textFill>
        </w:rPr>
      </w:pPr>
    </w:p>
    <w:p>
      <w:pPr>
        <w:spacing w:line="288" w:lineRule="auto"/>
        <w:jc w:val="center"/>
        <w:rPr>
          <w:rFonts w:ascii="仿宋" w:hAnsi="仿宋" w:eastAsia="仿宋" w:cs="Times New Roman"/>
          <w:b/>
          <w:color w:val="000000" w:themeColor="text1"/>
          <w:kern w:val="0"/>
          <w:sz w:val="24"/>
          <w:szCs w:val="28"/>
          <w14:textFill>
            <w14:solidFill>
              <w14:schemeClr w14:val="tx1"/>
            </w14:solidFill>
          </w14:textFill>
        </w:rPr>
      </w:pPr>
      <w:r>
        <w:rPr>
          <w:rFonts w:hint="eastAsia" w:ascii="仿宋" w:hAnsi="仿宋" w:eastAsia="仿宋" w:cs="Times New Roman"/>
          <w:b/>
          <w:color w:val="000000" w:themeColor="text1"/>
          <w:kern w:val="0"/>
          <w:sz w:val="24"/>
          <w:szCs w:val="28"/>
          <w14:textFill>
            <w14:solidFill>
              <w14:schemeClr w14:val="tx1"/>
            </w14:solidFill>
          </w14:textFill>
        </w:rPr>
        <w:t>附</w:t>
      </w:r>
      <w:r>
        <w:rPr>
          <w:rFonts w:ascii="仿宋" w:hAnsi="仿宋" w:eastAsia="仿宋" w:cs="Times New Roman"/>
          <w:b/>
          <w:color w:val="000000" w:themeColor="text1"/>
          <w:kern w:val="0"/>
          <w:sz w:val="24"/>
          <w:szCs w:val="28"/>
          <w14:textFill>
            <w14:solidFill>
              <w14:schemeClr w14:val="tx1"/>
            </w14:solidFill>
          </w14:textFill>
        </w:rPr>
        <w:t>表</w:t>
      </w:r>
      <w:r>
        <w:rPr>
          <w:rFonts w:ascii="Times New Roman" w:hAnsi="Times New Roman" w:eastAsia="仿宋" w:cs="Times New Roman"/>
          <w:b/>
          <w:color w:val="000000" w:themeColor="text1"/>
          <w:kern w:val="0"/>
          <w:sz w:val="24"/>
          <w:szCs w:val="28"/>
          <w14:textFill>
            <w14:solidFill>
              <w14:schemeClr w14:val="tx1"/>
            </w14:solidFill>
          </w14:textFill>
        </w:rPr>
        <w:t xml:space="preserve"> </w:t>
      </w:r>
      <w:r>
        <w:rPr>
          <w:rFonts w:hint="eastAsia" w:ascii="Times New Roman" w:hAnsi="Times New Roman" w:eastAsia="仿宋" w:cs="Times New Roman"/>
          <w:b/>
          <w:color w:val="000000" w:themeColor="text1"/>
          <w:kern w:val="0"/>
          <w:sz w:val="24"/>
          <w:szCs w:val="28"/>
          <w14:textFill>
            <w14:solidFill>
              <w14:schemeClr w14:val="tx1"/>
            </w14:solidFill>
          </w14:textFill>
        </w:rPr>
        <w:t>：</w:t>
      </w:r>
      <w:r>
        <w:rPr>
          <w:rFonts w:ascii="仿宋" w:hAnsi="仿宋" w:eastAsia="仿宋" w:cs="Times New Roman"/>
          <w:b/>
          <w:color w:val="000000" w:themeColor="text1"/>
          <w:kern w:val="0"/>
          <w:sz w:val="24"/>
          <w:szCs w:val="28"/>
          <w14:textFill>
            <w14:solidFill>
              <w14:schemeClr w14:val="tx1"/>
            </w14:solidFill>
          </w14:textFill>
        </w:rPr>
        <w:t>艺术学院专职教师</w:t>
      </w:r>
    </w:p>
    <w:tbl>
      <w:tblPr>
        <w:tblStyle w:val="6"/>
        <w:tblW w:w="7812" w:type="dxa"/>
        <w:tblInd w:w="0" w:type="dxa"/>
        <w:tblLayout w:type="fixed"/>
        <w:tblCellMar>
          <w:top w:w="0" w:type="dxa"/>
          <w:left w:w="0" w:type="dxa"/>
          <w:bottom w:w="0" w:type="dxa"/>
          <w:right w:w="0" w:type="dxa"/>
        </w:tblCellMar>
      </w:tblPr>
      <w:tblGrid>
        <w:gridCol w:w="20"/>
        <w:gridCol w:w="925"/>
        <w:gridCol w:w="21"/>
        <w:gridCol w:w="1192"/>
        <w:gridCol w:w="28"/>
        <w:gridCol w:w="1049"/>
        <w:gridCol w:w="34"/>
        <w:gridCol w:w="2121"/>
        <w:gridCol w:w="12"/>
        <w:gridCol w:w="2410"/>
      </w:tblGrid>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b/>
                <w:color w:val="000000" w:themeColor="text1"/>
                <w:sz w:val="24"/>
                <w:szCs w:val="28"/>
                <w14:textFill>
                  <w14:solidFill>
                    <w14:schemeClr w14:val="tx1"/>
                  </w14:solidFill>
                </w14:textFill>
              </w:rPr>
            </w:pPr>
            <w:r>
              <w:rPr>
                <w:rFonts w:ascii="仿宋" w:hAnsi="仿宋" w:eastAsia="仿宋" w:cs="Times New Roman"/>
                <w:b/>
                <w:color w:val="000000" w:themeColor="text1"/>
                <w:kern w:val="0"/>
                <w:sz w:val="24"/>
                <w:szCs w:val="28"/>
                <w14:textFill>
                  <w14:solidFill>
                    <w14:schemeClr w14:val="tx1"/>
                  </w14:solidFill>
                </w14:textFill>
              </w:rPr>
              <w:t>序号</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b/>
                <w:color w:val="000000" w:themeColor="text1"/>
                <w:sz w:val="24"/>
                <w:szCs w:val="28"/>
                <w14:textFill>
                  <w14:solidFill>
                    <w14:schemeClr w14:val="tx1"/>
                  </w14:solidFill>
                </w14:textFill>
              </w:rPr>
            </w:pPr>
            <w:r>
              <w:rPr>
                <w:rFonts w:ascii="仿宋" w:hAnsi="仿宋" w:eastAsia="仿宋" w:cs="Times New Roman"/>
                <w:b/>
                <w:color w:val="000000" w:themeColor="text1"/>
                <w:kern w:val="0"/>
                <w:sz w:val="24"/>
                <w:szCs w:val="28"/>
                <w14:textFill>
                  <w14:solidFill>
                    <w14:schemeClr w14:val="tx1"/>
                  </w14:solidFill>
                </w14:textFill>
              </w:rPr>
              <w:t>姓名</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b/>
                <w:color w:val="000000" w:themeColor="text1"/>
                <w:sz w:val="24"/>
                <w:szCs w:val="28"/>
                <w14:textFill>
                  <w14:solidFill>
                    <w14:schemeClr w14:val="tx1"/>
                  </w14:solidFill>
                </w14:textFill>
              </w:rPr>
            </w:pPr>
            <w:r>
              <w:rPr>
                <w:rFonts w:ascii="仿宋" w:hAnsi="仿宋" w:eastAsia="仿宋" w:cs="Times New Roman"/>
                <w:b/>
                <w:color w:val="000000" w:themeColor="text1"/>
                <w:kern w:val="0"/>
                <w:sz w:val="24"/>
                <w:szCs w:val="28"/>
                <w14:textFill>
                  <w14:solidFill>
                    <w14:schemeClr w14:val="tx1"/>
                  </w14:solidFill>
                </w14:textFill>
              </w:rPr>
              <w:t>性别</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b/>
                <w:color w:val="000000" w:themeColor="text1"/>
                <w:sz w:val="24"/>
                <w:szCs w:val="28"/>
                <w14:textFill>
                  <w14:solidFill>
                    <w14:schemeClr w14:val="tx1"/>
                  </w14:solidFill>
                </w14:textFill>
              </w:rPr>
            </w:pPr>
            <w:r>
              <w:rPr>
                <w:rFonts w:ascii="仿宋" w:hAnsi="仿宋" w:eastAsia="仿宋" w:cs="Times New Roman"/>
                <w:b/>
                <w:color w:val="000000" w:themeColor="text1"/>
                <w:kern w:val="0"/>
                <w:sz w:val="24"/>
                <w:szCs w:val="28"/>
                <w14:textFill>
                  <w14:solidFill>
                    <w14:schemeClr w14:val="tx1"/>
                  </w14:solidFill>
                </w14:textFill>
              </w:rPr>
              <w:t>职称</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b/>
                <w:color w:val="000000" w:themeColor="text1"/>
                <w:sz w:val="24"/>
                <w:szCs w:val="28"/>
                <w14:textFill>
                  <w14:solidFill>
                    <w14:schemeClr w14:val="tx1"/>
                  </w14:solidFill>
                </w14:textFill>
              </w:rPr>
            </w:pPr>
            <w:r>
              <w:rPr>
                <w:rFonts w:ascii="仿宋" w:hAnsi="仿宋" w:eastAsia="仿宋" w:cs="Times New Roman"/>
                <w:b/>
                <w:color w:val="000000" w:themeColor="text1"/>
                <w:kern w:val="0"/>
                <w:sz w:val="24"/>
                <w:szCs w:val="28"/>
                <w14:textFill>
                  <w14:solidFill>
                    <w14:schemeClr w14:val="tx1"/>
                  </w14:solidFill>
                </w14:textFill>
              </w:rPr>
              <w:t>所在院系</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高颖</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张建春</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王淑兰</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教授</w:t>
            </w:r>
            <w:r>
              <w:rPr>
                <w:rFonts w:hint="eastAsia" w:ascii="仿宋" w:hAnsi="仿宋" w:eastAsia="仿宋" w:cs="Times New Roman"/>
                <w:color w:val="000000" w:themeColor="text1"/>
                <w:kern w:val="0"/>
                <w:sz w:val="24"/>
                <w:szCs w:val="28"/>
                <w14:textFill>
                  <w14:solidFill>
                    <w14:schemeClr w14:val="tx1"/>
                  </w14:solidFill>
                </w14:textFill>
              </w:rPr>
              <w:t>（退休）</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郑朝辉</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赵秀敏</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6</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王㤖</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Times New Roman" w:hAnsi="Times New Roman" w:eastAsia="仿宋" w:cs="Times New Roman"/>
                <w:color w:val="000000" w:themeColor="text1"/>
                <w:kern w:val="0"/>
                <w:sz w:val="24"/>
                <w:szCs w:val="28"/>
                <w14:textFill>
                  <w14:solidFill>
                    <w14:schemeClr w14:val="tx1"/>
                  </w14:solidFill>
                </w14:textFill>
              </w:rPr>
            </w:pPr>
            <w:r>
              <w:rPr>
                <w:rFonts w:hint="eastAsia" w:ascii="Times New Roman" w:hAnsi="Times New Roman" w:eastAsia="仿宋" w:cs="Times New Roman"/>
                <w:color w:val="000000" w:themeColor="text1"/>
                <w:kern w:val="0"/>
                <w:sz w:val="24"/>
                <w:szCs w:val="28"/>
                <w14:textFill>
                  <w14:solidFill>
                    <w14:schemeClr w14:val="tx1"/>
                  </w14:solidFill>
                </w14:textFill>
              </w:rPr>
              <w:t>7</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张世月</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8</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孙蔚</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gridBefore w:val="1"/>
          <w:wBefore w:w="20" w:type="dxa"/>
          <w:trHeight w:val="454" w:hRule="exact"/>
        </w:trPr>
        <w:tc>
          <w:tcPr>
            <w:tcW w:w="9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9</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时少波</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10</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郑铁宏</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11</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邓辉华</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12</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陈珊妍</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13</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吕琦</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14</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王丽云</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15</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王淑华</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16</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柳骅</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17</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陈潇玮</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18</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黄伟</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19</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陶伦</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20</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张飞鸽</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21</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孙明胜</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22</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冯炜</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23</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王双阳</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24</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陈宝山</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25</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徐岸兵</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26</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张起壮</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27</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叶玉</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28</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毛静</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29</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许晓峰</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30</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陈昊</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31</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赵侃</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32</w:t>
            </w:r>
          </w:p>
        </w:tc>
        <w:tc>
          <w:tcPr>
            <w:tcW w:w="121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张文松</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33</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夏洁</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34</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吴维凌</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副教授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35</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曹文波</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36</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苏然</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37</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陈岫</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38</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虞琼洁</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39</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朱丽平</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40</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温从儒</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41</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吴晶晶</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42</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丁少平</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43</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严跃华</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44</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钱博弘</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45</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郑方晓</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46</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蓝辉</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47</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郝昕</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48</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陈丽丹</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49</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李阳</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50</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刘畅</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51</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郑妙</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52</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张丽洁</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53</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陈瑛</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54</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周卿</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55</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赵若轶</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56</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李朝胜</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57</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张佐</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58</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杨馨</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59</w:t>
            </w:r>
          </w:p>
        </w:tc>
        <w:tc>
          <w:tcPr>
            <w:tcW w:w="1213"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贺程飞</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454" w:hRule="exact"/>
        </w:trPr>
        <w:tc>
          <w:tcPr>
            <w:tcW w:w="945"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60</w:t>
            </w:r>
          </w:p>
        </w:tc>
        <w:tc>
          <w:tcPr>
            <w:tcW w:w="1213" w:type="dxa"/>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史腾高</w:t>
            </w:r>
          </w:p>
        </w:tc>
        <w:tc>
          <w:tcPr>
            <w:tcW w:w="107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535" w:hRule="exact"/>
        </w:trPr>
        <w:tc>
          <w:tcPr>
            <w:tcW w:w="945" w:type="dxa"/>
            <w:gridSpan w:val="2"/>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Times New Roman" w:hAnsi="Times New Roman" w:eastAsia="仿宋" w:cs="Times New Roman"/>
                <w:color w:val="000000" w:themeColor="text1"/>
                <w:kern w:val="0"/>
                <w:sz w:val="24"/>
                <w:szCs w:val="28"/>
                <w14:textFill>
                  <w14:solidFill>
                    <w14:schemeClr w14:val="tx1"/>
                  </w14:solidFill>
                </w14:textFill>
              </w:rPr>
              <w:t>61</w:t>
            </w:r>
          </w:p>
        </w:tc>
        <w:tc>
          <w:tcPr>
            <w:tcW w:w="1213" w:type="dxa"/>
            <w:gridSpan w:val="2"/>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章逸超</w:t>
            </w:r>
          </w:p>
        </w:tc>
        <w:tc>
          <w:tcPr>
            <w:tcW w:w="1077"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535" w:hRule="exact"/>
        </w:trPr>
        <w:tc>
          <w:tcPr>
            <w:tcW w:w="945" w:type="dxa"/>
            <w:gridSpan w:val="2"/>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Times New Roman" w:hAnsi="Times New Roman" w:eastAsia="仿宋" w:cs="Times New Roman"/>
                <w:color w:val="000000" w:themeColor="text1"/>
                <w:kern w:val="0"/>
                <w:sz w:val="24"/>
                <w:szCs w:val="28"/>
                <w14:textFill>
                  <w14:solidFill>
                    <w14:schemeClr w14:val="tx1"/>
                  </w14:solidFill>
                </w14:textFill>
              </w:rPr>
            </w:pPr>
            <w:r>
              <w:rPr>
                <w:rFonts w:hint="eastAsia" w:ascii="Times New Roman" w:hAnsi="Times New Roman" w:eastAsia="仿宋" w:cs="Times New Roman"/>
                <w:color w:val="000000" w:themeColor="text1"/>
                <w:kern w:val="0"/>
                <w:sz w:val="24"/>
                <w:szCs w:val="28"/>
                <w14:textFill>
                  <w14:solidFill>
                    <w14:schemeClr w14:val="tx1"/>
                  </w14:solidFill>
                </w14:textFill>
              </w:rPr>
              <w:t>62</w:t>
            </w:r>
          </w:p>
        </w:tc>
        <w:tc>
          <w:tcPr>
            <w:tcW w:w="1213" w:type="dxa"/>
            <w:gridSpan w:val="2"/>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李强</w:t>
            </w:r>
          </w:p>
        </w:tc>
        <w:tc>
          <w:tcPr>
            <w:tcW w:w="1077"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535" w:hRule="exact"/>
        </w:trPr>
        <w:tc>
          <w:tcPr>
            <w:tcW w:w="945" w:type="dxa"/>
            <w:gridSpan w:val="2"/>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Times New Roman" w:hAnsi="Times New Roman" w:eastAsia="仿宋" w:cs="Times New Roman"/>
                <w:color w:val="000000" w:themeColor="text1"/>
                <w:kern w:val="0"/>
                <w:sz w:val="24"/>
                <w:szCs w:val="28"/>
                <w14:textFill>
                  <w14:solidFill>
                    <w14:schemeClr w14:val="tx1"/>
                  </w14:solidFill>
                </w14:textFill>
              </w:rPr>
            </w:pPr>
            <w:r>
              <w:rPr>
                <w:rFonts w:hint="eastAsia" w:ascii="Times New Roman" w:hAnsi="Times New Roman" w:eastAsia="仿宋" w:cs="Times New Roman"/>
                <w:color w:val="000000" w:themeColor="text1"/>
                <w:kern w:val="0"/>
                <w:sz w:val="24"/>
                <w:szCs w:val="28"/>
                <w14:textFill>
                  <w14:solidFill>
                    <w14:schemeClr w14:val="tx1"/>
                  </w14:solidFill>
                </w14:textFill>
              </w:rPr>
              <w:t>63</w:t>
            </w:r>
          </w:p>
        </w:tc>
        <w:tc>
          <w:tcPr>
            <w:tcW w:w="1213" w:type="dxa"/>
            <w:gridSpan w:val="2"/>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宫政</w:t>
            </w:r>
          </w:p>
        </w:tc>
        <w:tc>
          <w:tcPr>
            <w:tcW w:w="1077"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535" w:hRule="exact"/>
        </w:trPr>
        <w:tc>
          <w:tcPr>
            <w:tcW w:w="945" w:type="dxa"/>
            <w:gridSpan w:val="2"/>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Times New Roman" w:hAnsi="Times New Roman" w:eastAsia="仿宋" w:cs="Times New Roman"/>
                <w:color w:val="000000" w:themeColor="text1"/>
                <w:kern w:val="0"/>
                <w:sz w:val="24"/>
                <w:szCs w:val="28"/>
                <w14:textFill>
                  <w14:solidFill>
                    <w14:schemeClr w14:val="tx1"/>
                  </w14:solidFill>
                </w14:textFill>
              </w:rPr>
            </w:pPr>
            <w:r>
              <w:rPr>
                <w:rFonts w:hint="eastAsia" w:ascii="Times New Roman" w:hAnsi="Times New Roman" w:eastAsia="仿宋" w:cs="Times New Roman"/>
                <w:color w:val="000000" w:themeColor="text1"/>
                <w:kern w:val="0"/>
                <w:sz w:val="24"/>
                <w:szCs w:val="28"/>
                <w14:textFill>
                  <w14:solidFill>
                    <w14:schemeClr w14:val="tx1"/>
                  </w14:solidFill>
                </w14:textFill>
              </w:rPr>
              <w:t>64</w:t>
            </w:r>
          </w:p>
        </w:tc>
        <w:tc>
          <w:tcPr>
            <w:tcW w:w="1213" w:type="dxa"/>
            <w:gridSpan w:val="2"/>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张庆</w:t>
            </w:r>
          </w:p>
        </w:tc>
        <w:tc>
          <w:tcPr>
            <w:tcW w:w="1077"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535" w:hRule="exact"/>
        </w:trPr>
        <w:tc>
          <w:tcPr>
            <w:tcW w:w="945" w:type="dxa"/>
            <w:gridSpan w:val="2"/>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Times New Roman" w:hAnsi="Times New Roman" w:eastAsia="仿宋" w:cs="Times New Roman"/>
                <w:color w:val="000000" w:themeColor="text1"/>
                <w:kern w:val="0"/>
                <w:sz w:val="24"/>
                <w:szCs w:val="28"/>
                <w14:textFill>
                  <w14:solidFill>
                    <w14:schemeClr w14:val="tx1"/>
                  </w14:solidFill>
                </w14:textFill>
              </w:rPr>
            </w:pPr>
            <w:r>
              <w:rPr>
                <w:rFonts w:hint="eastAsia" w:ascii="Times New Roman" w:hAnsi="Times New Roman" w:eastAsia="仿宋" w:cs="Times New Roman"/>
                <w:color w:val="000000" w:themeColor="text1"/>
                <w:kern w:val="0"/>
                <w:sz w:val="24"/>
                <w:szCs w:val="28"/>
                <w14:textFill>
                  <w14:solidFill>
                    <w14:schemeClr w14:val="tx1"/>
                  </w14:solidFill>
                </w14:textFill>
              </w:rPr>
              <w:t>65</w:t>
            </w:r>
          </w:p>
        </w:tc>
        <w:tc>
          <w:tcPr>
            <w:tcW w:w="1213" w:type="dxa"/>
            <w:gridSpan w:val="2"/>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祖宇</w:t>
            </w:r>
          </w:p>
        </w:tc>
        <w:tc>
          <w:tcPr>
            <w:tcW w:w="1077"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535" w:hRule="exact"/>
        </w:trPr>
        <w:tc>
          <w:tcPr>
            <w:tcW w:w="945" w:type="dxa"/>
            <w:gridSpan w:val="2"/>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66</w:t>
            </w:r>
          </w:p>
        </w:tc>
        <w:tc>
          <w:tcPr>
            <w:tcW w:w="1213" w:type="dxa"/>
            <w:gridSpan w:val="2"/>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邵晗笑</w:t>
            </w:r>
          </w:p>
        </w:tc>
        <w:tc>
          <w:tcPr>
            <w:tcW w:w="1077"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女</w:t>
            </w:r>
          </w:p>
        </w:tc>
        <w:tc>
          <w:tcPr>
            <w:tcW w:w="21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556" w:hRule="exact"/>
        </w:trPr>
        <w:tc>
          <w:tcPr>
            <w:tcW w:w="945" w:type="dxa"/>
            <w:gridSpan w:val="2"/>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67</w:t>
            </w:r>
          </w:p>
        </w:tc>
        <w:tc>
          <w:tcPr>
            <w:tcW w:w="12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穆盼盼</w:t>
            </w:r>
          </w:p>
        </w:tc>
        <w:tc>
          <w:tcPr>
            <w:tcW w:w="1077"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讲师</w:t>
            </w:r>
          </w:p>
        </w:tc>
        <w:tc>
          <w:tcPr>
            <w:tcW w:w="2422"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564" w:hRule="exact"/>
        </w:trPr>
        <w:tc>
          <w:tcPr>
            <w:tcW w:w="945" w:type="dxa"/>
            <w:gridSpan w:val="2"/>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68</w:t>
            </w:r>
          </w:p>
        </w:tc>
        <w:tc>
          <w:tcPr>
            <w:tcW w:w="12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贺志华</w:t>
            </w:r>
          </w:p>
        </w:tc>
        <w:tc>
          <w:tcPr>
            <w:tcW w:w="1077"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助教</w:t>
            </w:r>
          </w:p>
        </w:tc>
        <w:tc>
          <w:tcPr>
            <w:tcW w:w="2422"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r>
        <w:tblPrEx>
          <w:tblCellMar>
            <w:top w:w="0" w:type="dxa"/>
            <w:left w:w="0" w:type="dxa"/>
            <w:bottom w:w="0" w:type="dxa"/>
            <w:right w:w="0" w:type="dxa"/>
          </w:tblCellMar>
        </w:tblPrEx>
        <w:trPr>
          <w:trHeight w:val="558" w:hRule="exact"/>
        </w:trPr>
        <w:tc>
          <w:tcPr>
            <w:tcW w:w="945" w:type="dxa"/>
            <w:gridSpan w:val="2"/>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69</w:t>
            </w:r>
          </w:p>
        </w:tc>
        <w:tc>
          <w:tcPr>
            <w:tcW w:w="1213"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白清文</w:t>
            </w:r>
          </w:p>
        </w:tc>
        <w:tc>
          <w:tcPr>
            <w:tcW w:w="1077"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男</w:t>
            </w:r>
          </w:p>
        </w:tc>
        <w:tc>
          <w:tcPr>
            <w:tcW w:w="2155"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hint="eastAsia" w:ascii="仿宋" w:hAnsi="仿宋" w:eastAsia="仿宋" w:cs="Times New Roman"/>
                <w:color w:val="000000" w:themeColor="text1"/>
                <w:kern w:val="0"/>
                <w:sz w:val="24"/>
                <w:szCs w:val="28"/>
                <w14:textFill>
                  <w14:solidFill>
                    <w14:schemeClr w14:val="tx1"/>
                  </w14:solidFill>
                </w14:textFill>
              </w:rPr>
              <w:t>助教</w:t>
            </w:r>
          </w:p>
        </w:tc>
        <w:tc>
          <w:tcPr>
            <w:tcW w:w="2422"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ascii="仿宋" w:hAnsi="仿宋" w:eastAsia="仿宋" w:cs="Times New Roman"/>
                <w:color w:val="000000" w:themeColor="text1"/>
                <w:kern w:val="0"/>
                <w:sz w:val="24"/>
                <w:szCs w:val="28"/>
                <w14:textFill>
                  <w14:solidFill>
                    <w14:schemeClr w14:val="tx1"/>
                  </w14:solidFill>
                </w14:textFill>
              </w:rPr>
            </w:pPr>
            <w:r>
              <w:rPr>
                <w:rFonts w:ascii="仿宋" w:hAnsi="仿宋" w:eastAsia="仿宋" w:cs="Times New Roman"/>
                <w:color w:val="000000" w:themeColor="text1"/>
                <w:kern w:val="0"/>
                <w:sz w:val="24"/>
                <w:szCs w:val="28"/>
                <w14:textFill>
                  <w14:solidFill>
                    <w14:schemeClr w14:val="tx1"/>
                  </w14:solidFill>
                </w14:textFill>
              </w:rPr>
              <w:t>艺术设计学院</w:t>
            </w:r>
          </w:p>
        </w:tc>
      </w:tr>
    </w:tbl>
    <w:p>
      <w:pPr>
        <w:spacing w:line="288" w:lineRule="auto"/>
        <w:ind w:firstLine="562" w:firstLineChars="200"/>
        <w:rPr>
          <w:rFonts w:ascii="仿宋" w:hAnsi="仿宋" w:eastAsia="仿宋" w:cs="Times New Roman"/>
          <w:b/>
          <w:bCs/>
          <w:color w:val="000000" w:themeColor="text1"/>
          <w:sz w:val="28"/>
          <w:szCs w:val="28"/>
          <w14:textFill>
            <w14:solidFill>
              <w14:schemeClr w14:val="tx1"/>
            </w14:solidFill>
          </w14:textFill>
        </w:rPr>
      </w:pPr>
      <w:r>
        <w:rPr>
          <w:rFonts w:ascii="仿宋" w:hAnsi="仿宋" w:eastAsia="仿宋" w:cs="Times New Roman"/>
          <w:b/>
          <w:bCs/>
          <w:color w:val="000000" w:themeColor="text1"/>
          <w:sz w:val="28"/>
          <w:szCs w:val="28"/>
          <w14:textFill>
            <w14:solidFill>
              <w14:schemeClr w14:val="tx1"/>
            </w14:solidFill>
          </w14:textFill>
        </w:rPr>
        <w:t>四、艺术团建设情况</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（一）艺术团规模及总体情况</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学</w:t>
      </w:r>
      <w:r>
        <w:rPr>
          <w:rFonts w:ascii="Times New Roman" w:hAnsi="Times New Roman" w:eastAsia="仿宋" w:cs="Times New Roman"/>
          <w:color w:val="000000" w:themeColor="text1"/>
          <w:kern w:val="0"/>
          <w:sz w:val="28"/>
          <w:szCs w:val="28"/>
          <w14:textFill>
            <w14:solidFill>
              <w14:schemeClr w14:val="tx1"/>
            </w14:solidFill>
          </w14:textFill>
        </w:rPr>
        <w:t>校艺术团团员数达到了</w:t>
      </w:r>
      <w:r>
        <w:rPr>
          <w:rFonts w:hint="eastAsia" w:ascii="Times New Roman" w:hAnsi="Times New Roman" w:eastAsia="仿宋" w:cs="Times New Roman"/>
          <w:color w:val="000000" w:themeColor="text1"/>
          <w:kern w:val="0"/>
          <w:sz w:val="28"/>
          <w:szCs w:val="28"/>
          <w14:textFill>
            <w14:solidFill>
              <w14:schemeClr w14:val="tx1"/>
            </w14:solidFill>
          </w14:textFill>
        </w:rPr>
        <w:t>400</w:t>
      </w:r>
      <w:r>
        <w:rPr>
          <w:rFonts w:ascii="Times New Roman" w:hAnsi="Times New Roman" w:eastAsia="仿宋" w:cs="Times New Roman"/>
          <w:color w:val="000000" w:themeColor="text1"/>
          <w:kern w:val="0"/>
          <w:sz w:val="28"/>
          <w:szCs w:val="28"/>
          <w14:textFill>
            <w14:solidFill>
              <w14:schemeClr w14:val="tx1"/>
            </w14:solidFill>
          </w14:textFill>
        </w:rPr>
        <w:t>余人，下设管乐分团</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太阳剧社、</w:t>
      </w:r>
      <w:r>
        <w:rPr>
          <w:rFonts w:hint="eastAsia" w:ascii="Times New Roman" w:hAnsi="Times New Roman" w:eastAsia="仿宋" w:cs="Times New Roman"/>
          <w:color w:val="000000" w:themeColor="text1"/>
          <w:kern w:val="0"/>
          <w:sz w:val="28"/>
          <w:szCs w:val="28"/>
          <w14:textFill>
            <w14:solidFill>
              <w14:schemeClr w14:val="tx1"/>
            </w14:solidFill>
          </w14:textFill>
        </w:rPr>
        <w:t>焦点舞团</w:t>
      </w:r>
      <w:r>
        <w:rPr>
          <w:rFonts w:ascii="Times New Roman" w:hAnsi="Times New Roman" w:eastAsia="仿宋" w:cs="Times New Roman"/>
          <w:color w:val="000000" w:themeColor="text1"/>
          <w:kern w:val="0"/>
          <w:sz w:val="28"/>
          <w:szCs w:val="28"/>
          <w14:textFill>
            <w14:solidFill>
              <w14:schemeClr w14:val="tx1"/>
            </w14:solidFill>
          </w14:textFill>
        </w:rPr>
        <w:t>、合唱分团、民乐分团、室内乐分团6个分团</w:t>
      </w:r>
      <w:r>
        <w:rPr>
          <w:rFonts w:hint="eastAsia" w:ascii="Times New Roman" w:hAnsi="Times New Roman" w:eastAsia="仿宋" w:cs="Times New Roman"/>
          <w:color w:val="000000" w:themeColor="text1"/>
          <w:kern w:val="0"/>
          <w:sz w:val="28"/>
          <w:szCs w:val="28"/>
          <w14:textFill>
            <w14:solidFill>
              <w14:schemeClr w14:val="tx1"/>
            </w14:solidFill>
          </w14:textFill>
        </w:rPr>
        <w:t>，负责</w:t>
      </w:r>
      <w:r>
        <w:rPr>
          <w:rFonts w:ascii="Times New Roman" w:hAnsi="Times New Roman" w:eastAsia="仿宋" w:cs="Times New Roman"/>
          <w:color w:val="000000" w:themeColor="text1"/>
          <w:kern w:val="0"/>
          <w:sz w:val="28"/>
          <w:szCs w:val="28"/>
          <w14:textFill>
            <w14:solidFill>
              <w14:schemeClr w14:val="tx1"/>
            </w14:solidFill>
          </w14:textFill>
        </w:rPr>
        <w:t>排练、艺术指导、组织参演参赛等工作。管乐分团</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太阳剧社、</w:t>
      </w:r>
      <w:r>
        <w:rPr>
          <w:rFonts w:hint="eastAsia" w:ascii="Times New Roman" w:hAnsi="Times New Roman" w:eastAsia="仿宋" w:cs="Times New Roman"/>
          <w:color w:val="000000" w:themeColor="text1"/>
          <w:kern w:val="0"/>
          <w:sz w:val="28"/>
          <w:szCs w:val="28"/>
          <w14:textFill>
            <w14:solidFill>
              <w14:schemeClr w14:val="tx1"/>
            </w14:solidFill>
          </w14:textFill>
        </w:rPr>
        <w:t>焦点舞团</w:t>
      </w:r>
      <w:r>
        <w:rPr>
          <w:rFonts w:ascii="Times New Roman" w:hAnsi="Times New Roman" w:eastAsia="仿宋" w:cs="Times New Roman"/>
          <w:color w:val="000000" w:themeColor="text1"/>
          <w:kern w:val="0"/>
          <w:sz w:val="28"/>
          <w:szCs w:val="28"/>
          <w14:textFill>
            <w14:solidFill>
              <w14:schemeClr w14:val="tx1"/>
            </w14:solidFill>
          </w14:textFill>
        </w:rPr>
        <w:t>、合唱分团、民乐分团，由校艺术</w:t>
      </w:r>
      <w:r>
        <w:rPr>
          <w:rFonts w:hint="eastAsia" w:ascii="Times New Roman" w:hAnsi="Times New Roman" w:eastAsia="仿宋" w:cs="Times New Roman"/>
          <w:color w:val="000000" w:themeColor="text1"/>
          <w:kern w:val="0"/>
          <w:sz w:val="28"/>
          <w:szCs w:val="28"/>
          <w14:textFill>
            <w14:solidFill>
              <w14:schemeClr w14:val="tx1"/>
            </w14:solidFill>
          </w14:textFill>
        </w:rPr>
        <w:t>教育中心5</w:t>
      </w:r>
      <w:r>
        <w:rPr>
          <w:rFonts w:ascii="Times New Roman" w:hAnsi="Times New Roman" w:eastAsia="仿宋" w:cs="Times New Roman"/>
          <w:color w:val="000000" w:themeColor="text1"/>
          <w:kern w:val="0"/>
          <w:sz w:val="28"/>
          <w:szCs w:val="28"/>
          <w14:textFill>
            <w14:solidFill>
              <w14:schemeClr w14:val="tx1"/>
            </w14:solidFill>
          </w14:textFill>
        </w:rPr>
        <w:t>位专职教师负责，室内乐分团</w:t>
      </w:r>
      <w:r>
        <w:rPr>
          <w:rFonts w:hint="eastAsia" w:ascii="Times New Roman" w:hAnsi="Times New Roman" w:eastAsia="仿宋" w:cs="Times New Roman"/>
          <w:color w:val="000000" w:themeColor="text1"/>
          <w:kern w:val="0"/>
          <w:sz w:val="28"/>
          <w:szCs w:val="28"/>
          <w14:textFill>
            <w14:solidFill>
              <w14:schemeClr w14:val="tx1"/>
            </w14:solidFill>
          </w14:textFill>
        </w:rPr>
        <w:t>聘请1</w:t>
      </w:r>
      <w:r>
        <w:rPr>
          <w:rFonts w:ascii="Times New Roman" w:hAnsi="Times New Roman" w:eastAsia="仿宋" w:cs="Times New Roman"/>
          <w:color w:val="000000" w:themeColor="text1"/>
          <w:kern w:val="0"/>
          <w:sz w:val="28"/>
          <w:szCs w:val="28"/>
          <w14:textFill>
            <w14:solidFill>
              <w14:schemeClr w14:val="tx1"/>
            </w14:solidFill>
          </w14:textFill>
        </w:rPr>
        <w:t>位兼职教师</w:t>
      </w:r>
      <w:r>
        <w:rPr>
          <w:rFonts w:hint="eastAsia" w:ascii="Times New Roman" w:hAnsi="Times New Roman" w:eastAsia="仿宋" w:cs="Times New Roman"/>
          <w:color w:val="000000" w:themeColor="text1"/>
          <w:kern w:val="0"/>
          <w:sz w:val="28"/>
          <w:szCs w:val="28"/>
          <w14:textFill>
            <w14:solidFill>
              <w14:schemeClr w14:val="tx1"/>
            </w14:solidFill>
          </w14:textFill>
        </w:rPr>
        <w:t>授课</w:t>
      </w:r>
      <w:r>
        <w:rPr>
          <w:rFonts w:ascii="Times New Roman" w:hAnsi="Times New Roman" w:eastAsia="仿宋" w:cs="Times New Roman"/>
          <w:color w:val="000000" w:themeColor="text1"/>
          <w:kern w:val="0"/>
          <w:sz w:val="28"/>
          <w:szCs w:val="28"/>
          <w14:textFill>
            <w14:solidFill>
              <w14:schemeClr w14:val="tx1"/>
            </w14:solidFill>
          </w14:textFill>
        </w:rPr>
        <w:t>。此外，学校在浙江省歌舞剧院、浙江交响乐团、浙江</w:t>
      </w:r>
      <w:r>
        <w:rPr>
          <w:rFonts w:hint="eastAsia" w:ascii="Times New Roman" w:hAnsi="Times New Roman" w:eastAsia="仿宋" w:cs="Times New Roman"/>
          <w:color w:val="000000" w:themeColor="text1"/>
          <w:kern w:val="0"/>
          <w:sz w:val="28"/>
          <w:szCs w:val="28"/>
          <w14:textFill>
            <w14:solidFill>
              <w14:schemeClr w14:val="tx1"/>
            </w14:solidFill>
          </w14:textFill>
        </w:rPr>
        <w:t>音乐</w:t>
      </w:r>
      <w:r>
        <w:rPr>
          <w:rFonts w:ascii="Times New Roman" w:hAnsi="Times New Roman" w:eastAsia="仿宋" w:cs="Times New Roman"/>
          <w:color w:val="000000" w:themeColor="text1"/>
          <w:kern w:val="0"/>
          <w:sz w:val="28"/>
          <w:szCs w:val="28"/>
          <w14:textFill>
            <w14:solidFill>
              <w14:schemeClr w14:val="tx1"/>
            </w14:solidFill>
          </w14:textFill>
        </w:rPr>
        <w:t>学院</w:t>
      </w:r>
      <w:r>
        <w:rPr>
          <w:rFonts w:hint="eastAsia" w:ascii="Times New Roman" w:hAnsi="Times New Roman" w:eastAsia="仿宋" w:cs="Times New Roman"/>
          <w:color w:val="000000" w:themeColor="text1"/>
          <w:kern w:val="0"/>
          <w:sz w:val="28"/>
          <w:szCs w:val="28"/>
          <w14:textFill>
            <w14:solidFill>
              <w14:schemeClr w14:val="tx1"/>
            </w14:solidFill>
          </w14:textFill>
        </w:rPr>
        <w:t>、浙江传媒学院</w:t>
      </w:r>
      <w:r>
        <w:rPr>
          <w:rFonts w:ascii="Times New Roman" w:hAnsi="Times New Roman" w:eastAsia="仿宋" w:cs="Times New Roman"/>
          <w:color w:val="000000" w:themeColor="text1"/>
          <w:kern w:val="0"/>
          <w:sz w:val="28"/>
          <w:szCs w:val="28"/>
          <w14:textFill>
            <w14:solidFill>
              <w14:schemeClr w14:val="tx1"/>
            </w14:solidFill>
          </w14:textFill>
        </w:rPr>
        <w:t>等单位外聘了一些优秀的专业教师对参赛节目进行艺术指导。</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（二）艺术团设施建设</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艺术团有专门的训练场地和较为齐全的设备。学校建有15000平米的学生活动中心，其中4500平米的艺术楼专门用于艺术</w:t>
      </w:r>
      <w:r>
        <w:rPr>
          <w:rFonts w:hint="eastAsia" w:ascii="Times New Roman" w:hAnsi="Times New Roman" w:eastAsia="仿宋" w:cs="Times New Roman"/>
          <w:color w:val="000000" w:themeColor="text1"/>
          <w:kern w:val="0"/>
          <w:sz w:val="28"/>
          <w:szCs w:val="28"/>
          <w14:textFill>
            <w14:solidFill>
              <w14:schemeClr w14:val="tx1"/>
            </w14:solidFill>
          </w14:textFill>
        </w:rPr>
        <w:t>教育</w:t>
      </w:r>
      <w:r>
        <w:rPr>
          <w:rFonts w:ascii="Times New Roman" w:hAnsi="Times New Roman" w:eastAsia="仿宋" w:cs="Times New Roman"/>
          <w:color w:val="000000" w:themeColor="text1"/>
          <w:kern w:val="0"/>
          <w:sz w:val="28"/>
          <w:szCs w:val="28"/>
          <w14:textFill>
            <w14:solidFill>
              <w14:schemeClr w14:val="tx1"/>
            </w14:solidFill>
          </w14:textFill>
        </w:rPr>
        <w:t>教</w:t>
      </w:r>
      <w:r>
        <w:rPr>
          <w:rFonts w:hint="eastAsia" w:ascii="Times New Roman" w:hAnsi="Times New Roman" w:eastAsia="仿宋" w:cs="Times New Roman"/>
          <w:color w:val="000000" w:themeColor="text1"/>
          <w:kern w:val="0"/>
          <w:sz w:val="28"/>
          <w:szCs w:val="28"/>
          <w14:textFill>
            <w14:solidFill>
              <w14:schemeClr w14:val="tx1"/>
            </w14:solidFill>
          </w14:textFill>
        </w:rPr>
        <w:t>学</w:t>
      </w:r>
      <w:r>
        <w:rPr>
          <w:rFonts w:ascii="Times New Roman" w:hAnsi="Times New Roman" w:eastAsia="仿宋" w:cs="Times New Roman"/>
          <w:color w:val="000000" w:themeColor="text1"/>
          <w:kern w:val="0"/>
          <w:sz w:val="28"/>
          <w:szCs w:val="28"/>
          <w14:textFill>
            <w14:solidFill>
              <w14:schemeClr w14:val="tx1"/>
            </w14:solidFill>
          </w14:textFill>
        </w:rPr>
        <w:t>活动，建有剧院、排练厅、琴房、小音乐教室、数码钢琴教室、书法教室等，用于开展艺术教学、排练、演出和其它活动</w:t>
      </w:r>
      <w:r>
        <w:rPr>
          <w:rFonts w:hint="eastAsia" w:ascii="Times New Roman" w:hAnsi="Times New Roman" w:eastAsia="仿宋" w:cs="Times New Roman"/>
          <w:color w:val="000000" w:themeColor="text1"/>
          <w:kern w:val="0"/>
          <w:sz w:val="28"/>
          <w:szCs w:val="28"/>
          <w14:textFill>
            <w14:solidFill>
              <w14:schemeClr w14:val="tx1"/>
            </w14:solidFill>
          </w14:textFill>
        </w:rPr>
        <w:t>。2019-2020年</w:t>
      </w:r>
      <w:r>
        <w:rPr>
          <w:rFonts w:ascii="Times New Roman" w:hAnsi="Times New Roman" w:eastAsia="仿宋" w:cs="Times New Roman"/>
          <w:color w:val="000000" w:themeColor="text1"/>
          <w:kern w:val="0"/>
          <w:sz w:val="28"/>
          <w:szCs w:val="28"/>
          <w14:textFill>
            <w14:solidFill>
              <w14:schemeClr w14:val="tx1"/>
            </w14:solidFill>
          </w14:textFill>
        </w:rPr>
        <w:t>学校</w:t>
      </w:r>
      <w:r>
        <w:rPr>
          <w:rFonts w:hint="eastAsia" w:ascii="Times New Roman" w:hAnsi="Times New Roman" w:eastAsia="仿宋" w:cs="Times New Roman"/>
          <w:color w:val="000000" w:themeColor="text1"/>
          <w:kern w:val="0"/>
          <w:sz w:val="28"/>
          <w:szCs w:val="28"/>
          <w14:textFill>
            <w14:solidFill>
              <w14:schemeClr w14:val="tx1"/>
            </w14:solidFill>
          </w14:textFill>
        </w:rPr>
        <w:t>对艺术楼进行装修改造，提升教学环境；</w:t>
      </w:r>
      <w:r>
        <w:rPr>
          <w:rFonts w:ascii="Times New Roman" w:hAnsi="Times New Roman" w:eastAsia="仿宋" w:cs="Times New Roman"/>
          <w:color w:val="000000" w:themeColor="text1"/>
          <w:kern w:val="0"/>
          <w:sz w:val="28"/>
          <w:szCs w:val="28"/>
          <w14:textFill>
            <w14:solidFill>
              <w14:schemeClr w14:val="tx1"/>
            </w14:solidFill>
          </w14:textFill>
        </w:rPr>
        <w:t>设立文艺振兴专项经费支持学生文艺工作，目前有音响设备、三角钢琴、立式钢琴、铜管乐器、民乐器、打击乐器、弦乐器、电声乐器等</w:t>
      </w:r>
      <w:r>
        <w:rPr>
          <w:rFonts w:hint="eastAsia" w:ascii="Times New Roman" w:hAnsi="Times New Roman" w:eastAsia="仿宋" w:cs="Times New Roman"/>
          <w:color w:val="000000" w:themeColor="text1"/>
          <w:kern w:val="0"/>
          <w:sz w:val="28"/>
          <w:szCs w:val="28"/>
          <w14:textFill>
            <w14:solidFill>
              <w14:schemeClr w14:val="tx1"/>
            </w14:solidFill>
          </w14:textFill>
        </w:rPr>
        <w:t>器材</w:t>
      </w:r>
      <w:r>
        <w:rPr>
          <w:rFonts w:ascii="Times New Roman" w:hAnsi="Times New Roman" w:eastAsia="仿宋" w:cs="Times New Roman"/>
          <w:color w:val="000000" w:themeColor="text1"/>
          <w:kern w:val="0"/>
          <w:sz w:val="28"/>
          <w:szCs w:val="28"/>
          <w14:textFill>
            <w14:solidFill>
              <w14:schemeClr w14:val="tx1"/>
            </w14:solidFill>
          </w14:textFill>
        </w:rPr>
        <w:t>200余台套。</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（三）艺术团队伍</w:t>
      </w:r>
      <w:r>
        <w:rPr>
          <w:rFonts w:hint="eastAsia" w:ascii="Times New Roman" w:hAnsi="Times New Roman" w:eastAsia="仿宋" w:cs="Times New Roman"/>
          <w:color w:val="000000" w:themeColor="text1"/>
          <w:kern w:val="0"/>
          <w:sz w:val="28"/>
          <w:szCs w:val="28"/>
          <w14:textFill>
            <w14:solidFill>
              <w14:schemeClr w14:val="tx1"/>
            </w14:solidFill>
          </w14:textFill>
        </w:rPr>
        <w:t>建设</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20</w:t>
      </w:r>
      <w:r>
        <w:rPr>
          <w:rFonts w:hint="eastAsia" w:ascii="Times New Roman" w:hAnsi="Times New Roman" w:eastAsia="仿宋" w:cs="Times New Roman"/>
          <w:color w:val="000000" w:themeColor="text1"/>
          <w:kern w:val="0"/>
          <w:sz w:val="28"/>
          <w:szCs w:val="28"/>
          <w14:textFill>
            <w14:solidFill>
              <w14:schemeClr w14:val="tx1"/>
            </w14:solidFill>
          </w14:textFill>
        </w:rPr>
        <w:t>20</w:t>
      </w:r>
      <w:r>
        <w:rPr>
          <w:rFonts w:ascii="Times New Roman" w:hAnsi="Times New Roman" w:eastAsia="仿宋" w:cs="Times New Roman"/>
          <w:color w:val="000000" w:themeColor="text1"/>
          <w:kern w:val="0"/>
          <w:sz w:val="28"/>
          <w:szCs w:val="28"/>
          <w14:textFill>
            <w14:solidFill>
              <w14:schemeClr w14:val="tx1"/>
            </w14:solidFill>
          </w14:textFill>
        </w:rPr>
        <w:t>年通过各种途径发现并吸收具有各种艺术表演能力的学生，新生进校时开展艺术团纳新工作，加大力度宣传艺术团所取得的成绩，吸引新生前来报名，并严格筛选。艺术团指导老师及骨干队员们，自下而上，共同努力，采用有广泛的覆盖面的选拔方式，既补充了新队员，又保证艺术团队员的艺术素质，形成了较好的梯队</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为年度参演参赛等各种艺术实践活动打下扎实的基础。</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（四）艺术团队日常训练</w:t>
      </w:r>
      <w:r>
        <w:rPr>
          <w:rFonts w:hint="eastAsia" w:ascii="Times New Roman" w:hAnsi="Times New Roman" w:eastAsia="仿宋" w:cs="Times New Roman"/>
          <w:color w:val="000000" w:themeColor="text1"/>
          <w:kern w:val="0"/>
          <w:sz w:val="28"/>
          <w:szCs w:val="28"/>
          <w14:textFill>
            <w14:solidFill>
              <w14:schemeClr w14:val="tx1"/>
            </w14:solidFill>
          </w14:textFill>
        </w:rPr>
        <w:t>工作</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艺术团指导老师针对艺术团日常训练，积极探索科学训练模式。提出了“五个有”</w:t>
      </w:r>
      <w:r>
        <w:rPr>
          <w:rFonts w:hint="eastAsia" w:ascii="Times New Roman" w:hAnsi="Times New Roman" w:eastAsia="仿宋" w:cs="Times New Roman"/>
          <w:color w:val="000000" w:themeColor="text1"/>
          <w:kern w:val="0"/>
          <w:sz w:val="28"/>
          <w:szCs w:val="28"/>
          <w14:textFill>
            <w14:solidFill>
              <w14:schemeClr w14:val="tx1"/>
            </w14:solidFill>
          </w14:textFill>
        </w:rPr>
        <w:t>训练模式</w:t>
      </w:r>
      <w:r>
        <w:rPr>
          <w:rFonts w:ascii="Times New Roman" w:hAnsi="Times New Roman" w:eastAsia="仿宋" w:cs="Times New Roman"/>
          <w:color w:val="000000" w:themeColor="text1"/>
          <w:kern w:val="0"/>
          <w:sz w:val="28"/>
          <w:szCs w:val="28"/>
          <w14:textFill>
            <w14:solidFill>
              <w14:schemeClr w14:val="tx1"/>
            </w14:solidFill>
          </w14:textFill>
        </w:rPr>
        <w:t>，即艺术团训练有固定时间和场地、有专任教师指导、有教学大纲和授课计划、有教学督导、学生经考核合格有相应学分。训练中，指导老师为每位学生“量体裁衣”，利用课余、休息日、寒暑假集训，保证了艺术团的训练时间，提高了训练质量，优秀的艺术团员在各自学院的艺术活动中发挥了引领作用，传播正能量和高雅审美艺术文化品味。</w:t>
      </w:r>
    </w:p>
    <w:p>
      <w:pPr>
        <w:spacing w:line="288" w:lineRule="auto"/>
        <w:ind w:firstLine="562" w:firstLineChars="200"/>
        <w:rPr>
          <w:rFonts w:ascii="Times New Roman" w:hAnsi="Times New Roman" w:eastAsia="仿宋" w:cs="Times New Roman"/>
          <w:b/>
          <w:bCs/>
          <w:color w:val="000000" w:themeColor="text1"/>
          <w:kern w:val="0"/>
          <w:sz w:val="28"/>
          <w:szCs w:val="28"/>
          <w14:textFill>
            <w14:solidFill>
              <w14:schemeClr w14:val="tx1"/>
            </w14:solidFill>
          </w14:textFill>
        </w:rPr>
      </w:pPr>
      <w:r>
        <w:rPr>
          <w:rFonts w:ascii="Times New Roman" w:hAnsi="Times New Roman" w:eastAsia="仿宋" w:cs="Times New Roman"/>
          <w:b/>
          <w:bCs/>
          <w:color w:val="000000" w:themeColor="text1"/>
          <w:kern w:val="0"/>
          <w:sz w:val="28"/>
          <w:szCs w:val="28"/>
          <w14:textFill>
            <w14:solidFill>
              <w14:schemeClr w14:val="tx1"/>
            </w14:solidFill>
          </w14:textFill>
        </w:rPr>
        <w:t>五、校内外艺术实践活动</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(一）</w:t>
      </w:r>
      <w:r>
        <w:rPr>
          <w:rFonts w:ascii="Times New Roman" w:hAnsi="Times New Roman" w:eastAsia="仿宋" w:cs="Times New Roman"/>
          <w:color w:val="000000" w:themeColor="text1"/>
          <w:kern w:val="0"/>
          <w:sz w:val="28"/>
          <w:szCs w:val="28"/>
          <w14:textFill>
            <w14:solidFill>
              <w14:schemeClr w14:val="tx1"/>
            </w14:solidFill>
          </w14:textFill>
        </w:rPr>
        <w:t>参加浙江省大学生艺术展演活动</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20</w:t>
      </w:r>
      <w:r>
        <w:rPr>
          <w:rFonts w:hint="eastAsia" w:ascii="Times New Roman" w:hAnsi="Times New Roman" w:eastAsia="仿宋" w:cs="Times New Roman"/>
          <w:color w:val="000000" w:themeColor="text1"/>
          <w:kern w:val="0"/>
          <w:sz w:val="28"/>
          <w:szCs w:val="28"/>
          <w14:textFill>
            <w14:solidFill>
              <w14:schemeClr w14:val="tx1"/>
            </w14:solidFill>
          </w14:textFill>
        </w:rPr>
        <w:t>20</w:t>
      </w:r>
      <w:r>
        <w:rPr>
          <w:rFonts w:ascii="Times New Roman" w:hAnsi="Times New Roman" w:eastAsia="仿宋" w:cs="Times New Roman"/>
          <w:color w:val="000000" w:themeColor="text1"/>
          <w:kern w:val="0"/>
          <w:sz w:val="28"/>
          <w:szCs w:val="28"/>
          <w14:textFill>
            <w14:solidFill>
              <w14:schemeClr w14:val="tx1"/>
            </w14:solidFill>
          </w14:textFill>
        </w:rPr>
        <w:t>年浙江省大学生艺术节，</w:t>
      </w:r>
      <w:r>
        <w:rPr>
          <w:rFonts w:hint="eastAsia" w:ascii="Times New Roman" w:hAnsi="Times New Roman" w:eastAsia="仿宋" w:cs="Times New Roman"/>
          <w:color w:val="000000" w:themeColor="text1"/>
          <w:kern w:val="0"/>
          <w:sz w:val="28"/>
          <w:szCs w:val="28"/>
          <w14:textFill>
            <w14:solidFill>
              <w14:schemeClr w14:val="tx1"/>
            </w14:solidFill>
          </w14:textFill>
        </w:rPr>
        <w:t>我校共有8个表演类节目入围现场展演，其中校大学生艺术团选送的原创话剧《乡村创客》（编导：沈骁婧）、原创舞蹈《西子湖·初妆》（编导：雷丹婷）、舞蹈《我们看见了鸿雁》（指导教师：雷丹婷）、合唱《再别康桥》《ll est bel et bon》（指导教师：邹丽霞）、民乐重奏《将军令》《茶马》（指导教师：王楠）、管乐合奏《波西米亚狂想曲》（指导教师：孙佳琪）7个艺术表演类作品均获一等奖，此外，校园十佳歌手《家乡的味道》（指导教师：沈骁婧）获优秀歌手奖，</w:t>
      </w:r>
      <w:r>
        <w:rPr>
          <w:rFonts w:ascii="Times New Roman" w:hAnsi="Times New Roman" w:eastAsia="仿宋" w:cs="Times New Roman"/>
          <w:color w:val="000000" w:themeColor="text1"/>
          <w:kern w:val="0"/>
          <w:sz w:val="28"/>
          <w:szCs w:val="28"/>
          <w14:textFill>
            <w14:solidFill>
              <w14:schemeClr w14:val="tx1"/>
            </w14:solidFill>
          </w14:textFill>
        </w:rPr>
        <w:t>学校荣获优秀组织奖。</w:t>
      </w:r>
      <w:r>
        <w:rPr>
          <w:rFonts w:hint="eastAsia" w:ascii="Times New Roman" w:hAnsi="Times New Roman" w:eastAsia="仿宋" w:cs="Times New Roman"/>
          <w:color w:val="000000" w:themeColor="text1"/>
          <w:kern w:val="0"/>
          <w:sz w:val="28"/>
          <w:szCs w:val="28"/>
          <w14:textFill>
            <w14:solidFill>
              <w14:schemeClr w14:val="tx1"/>
            </w14:solidFill>
          </w14:textFill>
        </w:rPr>
        <w:t>同时，舞蹈《西子湖·初妆》和民乐重奏《将军令》受邀参加颁奖晚会演出。</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w:t>
      </w:r>
      <w:r>
        <w:rPr>
          <w:rFonts w:hint="eastAsia" w:ascii="Times New Roman" w:hAnsi="Times New Roman" w:eastAsia="仿宋" w:cs="Times New Roman"/>
          <w:color w:val="000000" w:themeColor="text1"/>
          <w:kern w:val="0"/>
          <w:sz w:val="28"/>
          <w:szCs w:val="28"/>
          <w14:textFill>
            <w14:solidFill>
              <w14:schemeClr w14:val="tx1"/>
            </w14:solidFill>
          </w14:textFill>
        </w:rPr>
        <w:t>二</w:t>
      </w:r>
      <w:r>
        <w:rPr>
          <w:rFonts w:ascii="Times New Roman" w:hAnsi="Times New Roman" w:eastAsia="仿宋" w:cs="Times New Roman"/>
          <w:color w:val="000000" w:themeColor="text1"/>
          <w:kern w:val="0"/>
          <w:sz w:val="28"/>
          <w:szCs w:val="28"/>
          <w14:textFill>
            <w14:solidFill>
              <w14:schemeClr w14:val="tx1"/>
            </w14:solidFill>
          </w14:textFill>
        </w:rPr>
        <w:t>）参加省内外其它艺术</w:t>
      </w:r>
      <w:r>
        <w:rPr>
          <w:rFonts w:hint="eastAsia" w:ascii="Times New Roman" w:hAnsi="Times New Roman" w:eastAsia="仿宋" w:cs="Times New Roman"/>
          <w:color w:val="000000" w:themeColor="text1"/>
          <w:kern w:val="0"/>
          <w:sz w:val="28"/>
          <w:szCs w:val="28"/>
          <w14:textFill>
            <w14:solidFill>
              <w14:schemeClr w14:val="tx1"/>
            </w14:solidFill>
          </w14:textFill>
        </w:rPr>
        <w:t>活动</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学</w:t>
      </w:r>
      <w:r>
        <w:rPr>
          <w:rFonts w:ascii="Times New Roman" w:hAnsi="Times New Roman" w:eastAsia="仿宋" w:cs="Times New Roman"/>
          <w:color w:val="000000" w:themeColor="text1"/>
          <w:kern w:val="0"/>
          <w:sz w:val="28"/>
          <w:szCs w:val="28"/>
          <w14:textFill>
            <w14:solidFill>
              <w14:schemeClr w14:val="tx1"/>
            </w14:solidFill>
          </w14:textFill>
        </w:rPr>
        <w:t>校</w:t>
      </w:r>
      <w:r>
        <w:rPr>
          <w:rFonts w:hint="eastAsia" w:ascii="Times New Roman" w:hAnsi="Times New Roman" w:eastAsia="仿宋" w:cs="Times New Roman"/>
          <w:color w:val="000000" w:themeColor="text1"/>
          <w:kern w:val="0"/>
          <w:sz w:val="28"/>
          <w:szCs w:val="28"/>
          <w14:textFill>
            <w14:solidFill>
              <w14:schemeClr w14:val="tx1"/>
            </w14:solidFill>
          </w14:textFill>
        </w:rPr>
        <w:t>组织合唱团参加《百年红船 扬帆远航》浙江省庆祝中国共产党成立100周年大型交响诗画文艺演出，民乐团《茶马》参加第十六届长三角民族乐团展演活动，民乐团《茶马》《将军令》参加中央电视台《风华国乐》节目录制。</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w:t>
      </w:r>
      <w:r>
        <w:rPr>
          <w:rFonts w:hint="eastAsia" w:ascii="Times New Roman" w:hAnsi="Times New Roman" w:eastAsia="仿宋" w:cs="Times New Roman"/>
          <w:color w:val="000000" w:themeColor="text1"/>
          <w:kern w:val="0"/>
          <w:sz w:val="28"/>
          <w:szCs w:val="28"/>
          <w14:textFill>
            <w14:solidFill>
              <w14:schemeClr w14:val="tx1"/>
            </w14:solidFill>
          </w14:textFill>
        </w:rPr>
        <w:t>三</w:t>
      </w:r>
      <w:r>
        <w:rPr>
          <w:rFonts w:ascii="Times New Roman" w:hAnsi="Times New Roman" w:eastAsia="仿宋" w:cs="Times New Roman"/>
          <w:color w:val="000000" w:themeColor="text1"/>
          <w:kern w:val="0"/>
          <w:sz w:val="28"/>
          <w:szCs w:val="28"/>
          <w14:textFill>
            <w14:solidFill>
              <w14:schemeClr w14:val="tx1"/>
            </w14:solidFill>
          </w14:textFill>
        </w:rPr>
        <w:t>）开展“艺路青春”品牌专场演出</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艺术团在校内开展了</w:t>
      </w:r>
      <w:r>
        <w:rPr>
          <w:rFonts w:hint="eastAsia" w:ascii="Times New Roman" w:hAnsi="Times New Roman" w:eastAsia="仿宋" w:cs="Times New Roman"/>
          <w:color w:val="000000" w:themeColor="text1"/>
          <w:kern w:val="0"/>
          <w:sz w:val="28"/>
          <w:szCs w:val="28"/>
          <w14:textFill>
            <w14:solidFill>
              <w14:schemeClr w14:val="tx1"/>
            </w14:solidFill>
          </w14:textFill>
        </w:rPr>
        <w:t>6</w:t>
      </w:r>
      <w:r>
        <w:rPr>
          <w:rFonts w:ascii="Times New Roman" w:hAnsi="Times New Roman" w:eastAsia="仿宋" w:cs="Times New Roman"/>
          <w:color w:val="000000" w:themeColor="text1"/>
          <w:kern w:val="0"/>
          <w:sz w:val="28"/>
          <w:szCs w:val="28"/>
          <w14:textFill>
            <w14:solidFill>
              <w14:schemeClr w14:val="tx1"/>
            </w14:solidFill>
          </w14:textFill>
        </w:rPr>
        <w:t>场“艺路青春”品牌专场演出</w:t>
      </w:r>
      <w:r>
        <w:rPr>
          <w:rFonts w:hint="eastAsia" w:ascii="Times New Roman" w:hAnsi="Times New Roman" w:eastAsia="仿宋" w:cs="Times New Roman"/>
          <w:color w:val="000000" w:themeColor="text1"/>
          <w:kern w:val="0"/>
          <w:sz w:val="28"/>
          <w:szCs w:val="28"/>
          <w14:textFill>
            <w14:solidFill>
              <w14:schemeClr w14:val="tx1"/>
            </w14:solidFill>
          </w14:textFill>
        </w:rPr>
        <w:t>，分别是“与美共美”—浙江工商大学2020年大学生艺术团专场演出暨体验式艺术教学成果汇报、“围炉乐话”校民乐团冬季演奏会、太阳剧社“永不剧终”十周年专场演出《哗变》《老妇还乡》、管中窥“乐”—校管乐团2020冬季演奏会、太阳剧社原创校史剧《苔花开》首演、焦点舞团“舞以为聚”专场演出，</w:t>
      </w:r>
      <w:r>
        <w:rPr>
          <w:rFonts w:ascii="Times New Roman" w:hAnsi="Times New Roman" w:eastAsia="仿宋" w:cs="Times New Roman"/>
          <w:color w:val="000000" w:themeColor="text1"/>
          <w:kern w:val="0"/>
          <w:sz w:val="28"/>
          <w:szCs w:val="28"/>
          <w14:textFill>
            <w14:solidFill>
              <w14:schemeClr w14:val="tx1"/>
            </w14:solidFill>
          </w14:textFill>
        </w:rPr>
        <w:t>展示了</w:t>
      </w:r>
      <w:r>
        <w:rPr>
          <w:rFonts w:hint="eastAsia" w:ascii="Times New Roman" w:hAnsi="Times New Roman" w:eastAsia="仿宋" w:cs="Times New Roman"/>
          <w:color w:val="000000" w:themeColor="text1"/>
          <w:kern w:val="0"/>
          <w:sz w:val="28"/>
          <w:szCs w:val="28"/>
          <w14:textFill>
            <w14:solidFill>
              <w14:schemeClr w14:val="tx1"/>
            </w14:solidFill>
          </w14:textFill>
        </w:rPr>
        <w:t>学校</w:t>
      </w:r>
      <w:r>
        <w:rPr>
          <w:rFonts w:ascii="Times New Roman" w:hAnsi="Times New Roman" w:eastAsia="仿宋" w:cs="Times New Roman"/>
          <w:color w:val="000000" w:themeColor="text1"/>
          <w:kern w:val="0"/>
          <w:sz w:val="28"/>
          <w:szCs w:val="28"/>
          <w14:textFill>
            <w14:solidFill>
              <w14:schemeClr w14:val="tx1"/>
            </w14:solidFill>
          </w14:textFill>
        </w:rPr>
        <w:t>大学生艺术团“准专业”的艺术水准，</w:t>
      </w:r>
      <w:r>
        <w:rPr>
          <w:rFonts w:hint="eastAsia" w:ascii="Times New Roman" w:hAnsi="Times New Roman" w:eastAsia="仿宋" w:cs="Times New Roman"/>
          <w:color w:val="000000" w:themeColor="text1"/>
          <w:kern w:val="0"/>
          <w:sz w:val="28"/>
          <w:szCs w:val="28"/>
          <w14:textFill>
            <w14:solidFill>
              <w14:schemeClr w14:val="tx1"/>
            </w14:solidFill>
          </w14:textFill>
        </w:rPr>
        <w:t>充分展现学校进一步加强美育工作所取得的成果</w:t>
      </w:r>
      <w:r>
        <w:rPr>
          <w:rFonts w:ascii="Times New Roman" w:hAnsi="Times New Roman" w:eastAsia="仿宋" w:cs="Times New Roman"/>
          <w:color w:val="000000" w:themeColor="text1"/>
          <w:kern w:val="0"/>
          <w:sz w:val="28"/>
          <w:szCs w:val="28"/>
          <w14:textFill>
            <w14:solidFill>
              <w14:schemeClr w14:val="tx1"/>
            </w14:solidFill>
          </w14:textFill>
        </w:rPr>
        <w:t>。</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w:t>
      </w:r>
      <w:r>
        <w:rPr>
          <w:rFonts w:hint="eastAsia" w:ascii="Times New Roman" w:hAnsi="Times New Roman" w:eastAsia="仿宋" w:cs="Times New Roman"/>
          <w:color w:val="000000" w:themeColor="text1"/>
          <w:kern w:val="0"/>
          <w:sz w:val="28"/>
          <w:szCs w:val="28"/>
          <w14:textFill>
            <w14:solidFill>
              <w14:schemeClr w14:val="tx1"/>
            </w14:solidFill>
          </w14:textFill>
        </w:rPr>
        <w:t>四</w:t>
      </w:r>
      <w:r>
        <w:rPr>
          <w:rFonts w:ascii="Times New Roman" w:hAnsi="Times New Roman" w:eastAsia="仿宋" w:cs="Times New Roman"/>
          <w:color w:val="000000" w:themeColor="text1"/>
          <w:kern w:val="0"/>
          <w:sz w:val="28"/>
          <w:szCs w:val="28"/>
          <w14:textFill>
            <w14:solidFill>
              <w14:schemeClr w14:val="tx1"/>
            </w14:solidFill>
          </w14:textFill>
        </w:rPr>
        <w:t>）高雅艺术进校园</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学</w:t>
      </w:r>
      <w:r>
        <w:rPr>
          <w:rFonts w:ascii="Times New Roman" w:hAnsi="Times New Roman" w:eastAsia="仿宋" w:cs="Times New Roman"/>
          <w:color w:val="000000" w:themeColor="text1"/>
          <w:kern w:val="0"/>
          <w:sz w:val="28"/>
          <w:szCs w:val="28"/>
          <w14:textFill>
            <w14:solidFill>
              <w14:schemeClr w14:val="tx1"/>
            </w14:solidFill>
          </w14:textFill>
        </w:rPr>
        <w:t>校继续推进“高雅艺术进校园”工作，先后联系并邀请了</w:t>
      </w:r>
      <w:r>
        <w:rPr>
          <w:rFonts w:hint="eastAsia" w:ascii="Times New Roman" w:hAnsi="Times New Roman" w:eastAsia="仿宋" w:cs="Times New Roman"/>
          <w:color w:val="000000" w:themeColor="text1"/>
          <w:kern w:val="0"/>
          <w:sz w:val="28"/>
          <w:szCs w:val="28"/>
          <w14:textFill>
            <w14:solidFill>
              <w14:schemeClr w14:val="tx1"/>
            </w14:solidFill>
          </w14:textFill>
        </w:rPr>
        <w:t>浙江音乐学院</w:t>
      </w:r>
      <w:r>
        <w:rPr>
          <w:rFonts w:ascii="Times New Roman" w:hAnsi="Times New Roman" w:eastAsia="仿宋" w:cs="Times New Roman"/>
          <w:color w:val="000000" w:themeColor="text1"/>
          <w:kern w:val="0"/>
          <w:sz w:val="28"/>
          <w:szCs w:val="28"/>
          <w14:textFill>
            <w14:solidFill>
              <w14:schemeClr w14:val="tx1"/>
            </w14:solidFill>
          </w14:textFill>
        </w:rPr>
        <w:t>、</w:t>
      </w:r>
      <w:r>
        <w:rPr>
          <w:rFonts w:hint="eastAsia" w:ascii="Times New Roman" w:hAnsi="Times New Roman" w:eastAsia="仿宋" w:cs="Times New Roman"/>
          <w:color w:val="000000" w:themeColor="text1"/>
          <w:kern w:val="0"/>
          <w:sz w:val="28"/>
          <w:szCs w:val="28"/>
          <w14:textFill>
            <w14:solidFill>
              <w14:schemeClr w14:val="tx1"/>
            </w14:solidFill>
          </w14:textFill>
        </w:rPr>
        <w:t>杭州爱乐乐团</w:t>
      </w:r>
      <w:r>
        <w:rPr>
          <w:rFonts w:ascii="Times New Roman" w:hAnsi="Times New Roman" w:eastAsia="仿宋" w:cs="Times New Roman"/>
          <w:color w:val="000000" w:themeColor="text1"/>
          <w:kern w:val="0"/>
          <w:sz w:val="28"/>
          <w:szCs w:val="28"/>
          <w14:textFill>
            <w14:solidFill>
              <w14:schemeClr w14:val="tx1"/>
            </w14:solidFill>
          </w14:textFill>
        </w:rPr>
        <w:t>、</w:t>
      </w:r>
      <w:r>
        <w:rPr>
          <w:rFonts w:hint="eastAsia" w:ascii="Times New Roman" w:hAnsi="Times New Roman" w:eastAsia="仿宋" w:cs="Times New Roman"/>
          <w:color w:val="000000" w:themeColor="text1"/>
          <w:kern w:val="0"/>
          <w:sz w:val="28"/>
          <w:szCs w:val="28"/>
          <w14:textFill>
            <w14:solidFill>
              <w14:schemeClr w14:val="tx1"/>
            </w14:solidFill>
          </w14:textFill>
        </w:rPr>
        <w:t>杭州越剧院和杭州歌剧舞剧院</w:t>
      </w:r>
      <w:r>
        <w:rPr>
          <w:rFonts w:ascii="Times New Roman" w:hAnsi="Times New Roman" w:eastAsia="仿宋" w:cs="Times New Roman"/>
          <w:color w:val="000000" w:themeColor="text1"/>
          <w:kern w:val="0"/>
          <w:sz w:val="28"/>
          <w:szCs w:val="28"/>
          <w14:textFill>
            <w14:solidFill>
              <w14:schemeClr w14:val="tx1"/>
            </w14:solidFill>
          </w14:textFill>
        </w:rPr>
        <w:t>等</w:t>
      </w:r>
      <w:r>
        <w:rPr>
          <w:rFonts w:hint="eastAsia" w:ascii="Times New Roman" w:hAnsi="Times New Roman" w:eastAsia="仿宋" w:cs="Times New Roman"/>
          <w:color w:val="000000" w:themeColor="text1"/>
          <w:kern w:val="0"/>
          <w:sz w:val="28"/>
          <w:szCs w:val="28"/>
          <w14:textFill>
            <w14:solidFill>
              <w14:schemeClr w14:val="tx1"/>
            </w14:solidFill>
          </w14:textFill>
        </w:rPr>
        <w:t>4</w:t>
      </w:r>
      <w:r>
        <w:rPr>
          <w:rFonts w:ascii="Times New Roman" w:hAnsi="Times New Roman" w:eastAsia="仿宋" w:cs="Times New Roman"/>
          <w:color w:val="000000" w:themeColor="text1"/>
          <w:kern w:val="0"/>
          <w:sz w:val="28"/>
          <w:szCs w:val="28"/>
          <w14:textFill>
            <w14:solidFill>
              <w14:schemeClr w14:val="tx1"/>
            </w14:solidFill>
          </w14:textFill>
        </w:rPr>
        <w:t>个专业团体来校开展高雅艺术进校园活动，平均惠及学生近</w:t>
      </w:r>
      <w:r>
        <w:rPr>
          <w:rFonts w:hint="eastAsia" w:ascii="Times New Roman" w:hAnsi="Times New Roman" w:eastAsia="仿宋" w:cs="Times New Roman"/>
          <w:color w:val="000000" w:themeColor="text1"/>
          <w:kern w:val="0"/>
          <w:sz w:val="28"/>
          <w:szCs w:val="28"/>
          <w14:textFill>
            <w14:solidFill>
              <w14:schemeClr w14:val="tx1"/>
            </w14:solidFill>
          </w14:textFill>
        </w:rPr>
        <w:t>40</w:t>
      </w:r>
      <w:r>
        <w:rPr>
          <w:rFonts w:ascii="Times New Roman" w:hAnsi="Times New Roman" w:eastAsia="仿宋" w:cs="Times New Roman"/>
          <w:color w:val="000000" w:themeColor="text1"/>
          <w:kern w:val="0"/>
          <w:sz w:val="28"/>
          <w:szCs w:val="28"/>
          <w14:textFill>
            <w14:solidFill>
              <w14:schemeClr w14:val="tx1"/>
            </w14:solidFill>
          </w14:textFill>
        </w:rPr>
        <w:t>00</w:t>
      </w:r>
      <w:r>
        <w:rPr>
          <w:rFonts w:hint="eastAsia" w:ascii="Times New Roman" w:hAnsi="Times New Roman" w:eastAsia="仿宋" w:cs="Times New Roman"/>
          <w:color w:val="000000" w:themeColor="text1"/>
          <w:kern w:val="0"/>
          <w:sz w:val="28"/>
          <w:szCs w:val="28"/>
          <w14:textFill>
            <w14:solidFill>
              <w14:schemeClr w14:val="tx1"/>
            </w14:solidFill>
          </w14:textFill>
        </w:rPr>
        <w:t>余</w:t>
      </w:r>
      <w:r>
        <w:rPr>
          <w:rFonts w:ascii="Times New Roman" w:hAnsi="Times New Roman" w:eastAsia="仿宋" w:cs="Times New Roman"/>
          <w:color w:val="000000" w:themeColor="text1"/>
          <w:kern w:val="0"/>
          <w:sz w:val="28"/>
          <w:szCs w:val="28"/>
          <w14:textFill>
            <w14:solidFill>
              <w14:schemeClr w14:val="tx1"/>
            </w14:solidFill>
          </w14:textFill>
        </w:rPr>
        <w:t>人，深受全校师生的喜爱</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营造浓郁的校园</w:t>
      </w:r>
      <w:r>
        <w:rPr>
          <w:rFonts w:hint="eastAsia" w:ascii="Times New Roman" w:hAnsi="Times New Roman" w:eastAsia="仿宋" w:cs="Times New Roman"/>
          <w:color w:val="000000" w:themeColor="text1"/>
          <w:kern w:val="0"/>
          <w:sz w:val="28"/>
          <w:szCs w:val="28"/>
          <w14:textFill>
            <w14:solidFill>
              <w14:schemeClr w14:val="tx1"/>
            </w14:solidFill>
          </w14:textFill>
        </w:rPr>
        <w:t>艺术</w:t>
      </w:r>
      <w:r>
        <w:rPr>
          <w:rFonts w:ascii="Times New Roman" w:hAnsi="Times New Roman" w:eastAsia="仿宋" w:cs="Times New Roman"/>
          <w:color w:val="000000" w:themeColor="text1"/>
          <w:kern w:val="0"/>
          <w:sz w:val="28"/>
          <w:szCs w:val="28"/>
          <w14:textFill>
            <w14:solidFill>
              <w14:schemeClr w14:val="tx1"/>
            </w14:solidFill>
          </w14:textFill>
        </w:rPr>
        <w:t>文化氛围</w:t>
      </w:r>
      <w:r>
        <w:rPr>
          <w:rFonts w:hint="eastAsia" w:ascii="Times New Roman" w:hAnsi="Times New Roman" w:eastAsia="仿宋" w:cs="Times New Roman"/>
          <w:color w:val="000000" w:themeColor="text1"/>
          <w:kern w:val="0"/>
          <w:sz w:val="28"/>
          <w:szCs w:val="28"/>
          <w14:textFill>
            <w14:solidFill>
              <w14:schemeClr w14:val="tx1"/>
            </w14:solidFill>
          </w14:textFill>
        </w:rPr>
        <w:t>。</w:t>
      </w:r>
    </w:p>
    <w:p>
      <w:pPr>
        <w:spacing w:line="288" w:lineRule="auto"/>
        <w:ind w:firstLine="560" w:firstLineChars="200"/>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2019-</w:t>
      </w:r>
      <w:r>
        <w:rPr>
          <w:rFonts w:ascii="Times New Roman" w:hAnsi="Times New Roman" w:eastAsia="仿宋" w:cs="Times New Roman"/>
          <w:color w:val="000000" w:themeColor="text1"/>
          <w:kern w:val="0"/>
          <w:sz w:val="28"/>
          <w:szCs w:val="28"/>
          <w14:textFill>
            <w14:solidFill>
              <w14:schemeClr w14:val="tx1"/>
            </w14:solidFill>
          </w14:textFill>
        </w:rPr>
        <w:t>20</w:t>
      </w:r>
      <w:r>
        <w:rPr>
          <w:rFonts w:hint="eastAsia" w:ascii="Times New Roman" w:hAnsi="Times New Roman" w:eastAsia="仿宋" w:cs="Times New Roman"/>
          <w:color w:val="000000" w:themeColor="text1"/>
          <w:kern w:val="0"/>
          <w:sz w:val="28"/>
          <w:szCs w:val="28"/>
          <w14:textFill>
            <w14:solidFill>
              <w14:schemeClr w14:val="tx1"/>
            </w14:solidFill>
          </w14:textFill>
        </w:rPr>
        <w:t>20学年，学校落实立德树人根本任务，不断推进艺术教育工作，引领学生树立正确的审美观念、陶冶高尚的道德情操、塑造美好心灵，培养德智体美劳全面发展的社会主义建设者和接班人。新的学年，学校要全面贯彻党的教育方针，进一步加强公共艺术教育师资队伍和课程体系建设，加大公共艺术教育的经费投入，增加公共艺术教育的实践教学活动，实施素质教育，改进美育教学，提高学生审美和人文素养，</w:t>
      </w:r>
      <w:r>
        <w:rPr>
          <w:rFonts w:ascii="Times New Roman" w:hAnsi="Times New Roman" w:eastAsia="仿宋" w:cs="Times New Roman"/>
          <w:color w:val="000000" w:themeColor="text1"/>
          <w:kern w:val="0"/>
          <w:sz w:val="28"/>
          <w:szCs w:val="28"/>
          <w14:textFill>
            <w14:solidFill>
              <w14:schemeClr w14:val="tx1"/>
            </w14:solidFill>
          </w14:textFill>
        </w:rPr>
        <w:t>促进学生全面发展。</w:t>
      </w:r>
    </w:p>
    <w:p>
      <w:pPr>
        <w:widowControl/>
        <w:spacing w:before="100" w:beforeAutospacing="1" w:after="100" w:afterAutospacing="1"/>
        <w:ind w:firstLine="700" w:firstLineChars="250"/>
        <w:jc w:val="left"/>
        <w:rPr>
          <w:rFonts w:ascii="Times New Roman" w:hAnsi="Times New Roman" w:eastAsia="仿宋" w:cs="Times New Roman"/>
          <w:color w:val="000000" w:themeColor="text1"/>
          <w:kern w:val="0"/>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48D3E"/>
    <w:multiLevelType w:val="singleLevel"/>
    <w:tmpl w:val="F9B48D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WI3Y2JmNTY4NTlmNmExODEyM2MzYjIzZmI2MzkifQ=="/>
  </w:docVars>
  <w:rsids>
    <w:rsidRoot w:val="006A6A45"/>
    <w:rsid w:val="00013AAD"/>
    <w:rsid w:val="00033CCF"/>
    <w:rsid w:val="00034599"/>
    <w:rsid w:val="000502B1"/>
    <w:rsid w:val="00060679"/>
    <w:rsid w:val="000677CD"/>
    <w:rsid w:val="0007014A"/>
    <w:rsid w:val="0007260A"/>
    <w:rsid w:val="00090133"/>
    <w:rsid w:val="000A46C2"/>
    <w:rsid w:val="000B2179"/>
    <w:rsid w:val="000C0156"/>
    <w:rsid w:val="000D4A4D"/>
    <w:rsid w:val="000E4554"/>
    <w:rsid w:val="000E69E3"/>
    <w:rsid w:val="000F3812"/>
    <w:rsid w:val="0010214C"/>
    <w:rsid w:val="00122CEA"/>
    <w:rsid w:val="00126728"/>
    <w:rsid w:val="00126D32"/>
    <w:rsid w:val="00132D8D"/>
    <w:rsid w:val="00135EB0"/>
    <w:rsid w:val="00136938"/>
    <w:rsid w:val="00140E72"/>
    <w:rsid w:val="001535A0"/>
    <w:rsid w:val="00164A33"/>
    <w:rsid w:val="00194065"/>
    <w:rsid w:val="001B0B23"/>
    <w:rsid w:val="001B21A3"/>
    <w:rsid w:val="001B2D4B"/>
    <w:rsid w:val="001B4821"/>
    <w:rsid w:val="001D0183"/>
    <w:rsid w:val="001F4CD5"/>
    <w:rsid w:val="00200E6F"/>
    <w:rsid w:val="00221F87"/>
    <w:rsid w:val="00242ED5"/>
    <w:rsid w:val="00246E53"/>
    <w:rsid w:val="00247CA6"/>
    <w:rsid w:val="002538C7"/>
    <w:rsid w:val="00261C2C"/>
    <w:rsid w:val="002910B5"/>
    <w:rsid w:val="002B5FE8"/>
    <w:rsid w:val="002C4A85"/>
    <w:rsid w:val="002D7EFA"/>
    <w:rsid w:val="002F3119"/>
    <w:rsid w:val="002F513B"/>
    <w:rsid w:val="00310309"/>
    <w:rsid w:val="00356017"/>
    <w:rsid w:val="00380CED"/>
    <w:rsid w:val="00390EFC"/>
    <w:rsid w:val="003950C0"/>
    <w:rsid w:val="003B023D"/>
    <w:rsid w:val="003C22BF"/>
    <w:rsid w:val="003C51F6"/>
    <w:rsid w:val="003E17BA"/>
    <w:rsid w:val="003F0EA1"/>
    <w:rsid w:val="003F7D7E"/>
    <w:rsid w:val="0040106E"/>
    <w:rsid w:val="00412635"/>
    <w:rsid w:val="00412F16"/>
    <w:rsid w:val="00430A5F"/>
    <w:rsid w:val="004B3230"/>
    <w:rsid w:val="004C5066"/>
    <w:rsid w:val="004D6206"/>
    <w:rsid w:val="004E09B1"/>
    <w:rsid w:val="004E4862"/>
    <w:rsid w:val="004E5FBC"/>
    <w:rsid w:val="00550E39"/>
    <w:rsid w:val="005538DC"/>
    <w:rsid w:val="00585051"/>
    <w:rsid w:val="005972D3"/>
    <w:rsid w:val="005A284D"/>
    <w:rsid w:val="005A6E98"/>
    <w:rsid w:val="005A7B31"/>
    <w:rsid w:val="005D0F97"/>
    <w:rsid w:val="006068EB"/>
    <w:rsid w:val="00606BDC"/>
    <w:rsid w:val="006219B9"/>
    <w:rsid w:val="00624731"/>
    <w:rsid w:val="00636C51"/>
    <w:rsid w:val="00642B19"/>
    <w:rsid w:val="006622E4"/>
    <w:rsid w:val="006637CB"/>
    <w:rsid w:val="006669A6"/>
    <w:rsid w:val="00667499"/>
    <w:rsid w:val="00681615"/>
    <w:rsid w:val="006A3EFB"/>
    <w:rsid w:val="006A4AC1"/>
    <w:rsid w:val="006A6A45"/>
    <w:rsid w:val="006C395D"/>
    <w:rsid w:val="006E5A7C"/>
    <w:rsid w:val="006F7AE3"/>
    <w:rsid w:val="0070292B"/>
    <w:rsid w:val="007065D1"/>
    <w:rsid w:val="0072180F"/>
    <w:rsid w:val="00744E0F"/>
    <w:rsid w:val="00747D45"/>
    <w:rsid w:val="00760454"/>
    <w:rsid w:val="007A1BB5"/>
    <w:rsid w:val="007A3B3A"/>
    <w:rsid w:val="007B2AB0"/>
    <w:rsid w:val="007B35FF"/>
    <w:rsid w:val="007C02F0"/>
    <w:rsid w:val="007D5EDF"/>
    <w:rsid w:val="007D7BCA"/>
    <w:rsid w:val="007E1242"/>
    <w:rsid w:val="008060F6"/>
    <w:rsid w:val="008130FE"/>
    <w:rsid w:val="00814A94"/>
    <w:rsid w:val="0085048A"/>
    <w:rsid w:val="0088382A"/>
    <w:rsid w:val="00897217"/>
    <w:rsid w:val="008E1176"/>
    <w:rsid w:val="0092200D"/>
    <w:rsid w:val="00922A8B"/>
    <w:rsid w:val="00954BC2"/>
    <w:rsid w:val="009575D0"/>
    <w:rsid w:val="009659A5"/>
    <w:rsid w:val="00983B89"/>
    <w:rsid w:val="00997DF6"/>
    <w:rsid w:val="009A1B6D"/>
    <w:rsid w:val="009B77D9"/>
    <w:rsid w:val="009E41F5"/>
    <w:rsid w:val="00A4098C"/>
    <w:rsid w:val="00A62F0C"/>
    <w:rsid w:val="00AB04F1"/>
    <w:rsid w:val="00AB6A34"/>
    <w:rsid w:val="00AE2581"/>
    <w:rsid w:val="00AE57AD"/>
    <w:rsid w:val="00B00946"/>
    <w:rsid w:val="00B22431"/>
    <w:rsid w:val="00B34EE6"/>
    <w:rsid w:val="00B41485"/>
    <w:rsid w:val="00B64863"/>
    <w:rsid w:val="00B73E8C"/>
    <w:rsid w:val="00B74CD1"/>
    <w:rsid w:val="00B922AC"/>
    <w:rsid w:val="00B9290B"/>
    <w:rsid w:val="00BB0649"/>
    <w:rsid w:val="00BB40AB"/>
    <w:rsid w:val="00BC0AD0"/>
    <w:rsid w:val="00BC3026"/>
    <w:rsid w:val="00BE448E"/>
    <w:rsid w:val="00C0139F"/>
    <w:rsid w:val="00C013C4"/>
    <w:rsid w:val="00C3514F"/>
    <w:rsid w:val="00C41DF5"/>
    <w:rsid w:val="00C47926"/>
    <w:rsid w:val="00C6060B"/>
    <w:rsid w:val="00C613A8"/>
    <w:rsid w:val="00CA2718"/>
    <w:rsid w:val="00CB32A4"/>
    <w:rsid w:val="00CD3BB0"/>
    <w:rsid w:val="00CD4E4F"/>
    <w:rsid w:val="00CD4FD9"/>
    <w:rsid w:val="00CE5CD6"/>
    <w:rsid w:val="00CE7A62"/>
    <w:rsid w:val="00D1429F"/>
    <w:rsid w:val="00D40E10"/>
    <w:rsid w:val="00D5571D"/>
    <w:rsid w:val="00D6414A"/>
    <w:rsid w:val="00D6731D"/>
    <w:rsid w:val="00D67504"/>
    <w:rsid w:val="00D83BE7"/>
    <w:rsid w:val="00D84567"/>
    <w:rsid w:val="00D91E22"/>
    <w:rsid w:val="00DB48D5"/>
    <w:rsid w:val="00DE0196"/>
    <w:rsid w:val="00E154B2"/>
    <w:rsid w:val="00E1762D"/>
    <w:rsid w:val="00E520CF"/>
    <w:rsid w:val="00E53C26"/>
    <w:rsid w:val="00E76DC7"/>
    <w:rsid w:val="00EA0F50"/>
    <w:rsid w:val="00EB33DA"/>
    <w:rsid w:val="00EC1995"/>
    <w:rsid w:val="00ED162A"/>
    <w:rsid w:val="00ED556F"/>
    <w:rsid w:val="00ED5C96"/>
    <w:rsid w:val="00EE1608"/>
    <w:rsid w:val="00F072C0"/>
    <w:rsid w:val="00F22C7A"/>
    <w:rsid w:val="00F239CB"/>
    <w:rsid w:val="00F326AA"/>
    <w:rsid w:val="00F32BE7"/>
    <w:rsid w:val="00F334DF"/>
    <w:rsid w:val="00F554AB"/>
    <w:rsid w:val="00F60699"/>
    <w:rsid w:val="00F60AFC"/>
    <w:rsid w:val="00F713B5"/>
    <w:rsid w:val="00F76912"/>
    <w:rsid w:val="00F95D72"/>
    <w:rsid w:val="00FA614E"/>
    <w:rsid w:val="00FC007D"/>
    <w:rsid w:val="00FC282E"/>
    <w:rsid w:val="00FD0117"/>
    <w:rsid w:val="03962084"/>
    <w:rsid w:val="0A773CD1"/>
    <w:rsid w:val="234F1543"/>
    <w:rsid w:val="2ECD0712"/>
    <w:rsid w:val="3B3F68C1"/>
    <w:rsid w:val="469E3CF2"/>
    <w:rsid w:val="580D76C4"/>
    <w:rsid w:val="63072F6F"/>
    <w:rsid w:val="63422616"/>
    <w:rsid w:val="6CD93469"/>
    <w:rsid w:val="70987F40"/>
    <w:rsid w:val="76826D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table" w:styleId="7">
    <w:name w:val="Table Grid"/>
    <w:basedOn w:val="6"/>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13">
    <w:name w:val="批注框文本 字符"/>
    <w:basedOn w:val="8"/>
    <w:link w:val="2"/>
    <w:semiHidden/>
    <w:uiPriority w:val="99"/>
    <w:rPr>
      <w:sz w:val="18"/>
      <w:szCs w:val="18"/>
    </w:rPr>
  </w:style>
  <w:style w:type="paragraph" w:styleId="14">
    <w:name w:val="List Paragraph"/>
    <w:basedOn w:val="1"/>
    <w:qFormat/>
    <w:uiPriority w:val="34"/>
    <w:pPr>
      <w:ind w:firstLine="420" w:firstLineChars="200"/>
    </w:pPr>
  </w:style>
  <w:style w:type="paragraph" w:customStyle="1" w:styleId="15">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AE08-A4F8-48E6-B3B6-1E1FB8FF710B}">
  <ds:schemaRefs/>
</ds:datastoreItem>
</file>

<file path=docProps/app.xml><?xml version="1.0" encoding="utf-8"?>
<Properties xmlns="http://schemas.openxmlformats.org/officeDocument/2006/extended-properties" xmlns:vt="http://schemas.openxmlformats.org/officeDocument/2006/docPropsVTypes">
  <Template>Normal</Template>
  <Pages>12</Pages>
  <Words>5344</Words>
  <Characters>5558</Characters>
  <Lines>43</Lines>
  <Paragraphs>12</Paragraphs>
  <TotalTime>16</TotalTime>
  <ScaleCrop>false</ScaleCrop>
  <LinksUpToDate>false</LinksUpToDate>
  <CharactersWithSpaces>5567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2021-12-30T03:24:00Z</dcterms:created>
  <dc:creator>weibeilaoshi</dc:creator>
  <cp:lastModifiedBy>红衣村长</cp:lastModifiedBy>
  <dcterms:modified xsi:type="dcterms:W3CDTF">2022-11-01T08:32:17Z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EEC48722AB344B1A9E84B17FAED12560</vt:lpwstr>
  </property>
</Properties>
</file>