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 xml:space="preserve">立足新起点 </w:t>
      </w:r>
      <w:r>
        <w:rPr>
          <w:rFonts w:ascii="Times New Roman" w:hAnsi="Times New Roman" w:eastAsia="方正小标宋简体" w:cs="Times New Roman"/>
          <w:color w:val="auto"/>
          <w:sz w:val="44"/>
          <w:szCs w:val="44"/>
        </w:rPr>
        <w:t xml:space="preserve"> </w:t>
      </w:r>
      <w:r>
        <w:rPr>
          <w:rFonts w:hint="eastAsia" w:ascii="Times New Roman" w:hAnsi="Times New Roman" w:eastAsia="方正小标宋简体" w:cs="Times New Roman"/>
          <w:color w:val="auto"/>
          <w:sz w:val="44"/>
          <w:szCs w:val="44"/>
        </w:rPr>
        <w:t>谋划新发展</w:t>
      </w:r>
    </w:p>
    <w:p>
      <w:pPr>
        <w:spacing w:line="580" w:lineRule="exact"/>
        <w:jc w:val="center"/>
        <w:rPr>
          <w:rFonts w:ascii="黑体" w:hAnsi="黑体" w:eastAsia="黑体"/>
          <w:bCs/>
          <w:color w:val="auto"/>
          <w:sz w:val="44"/>
          <w:szCs w:val="44"/>
        </w:rPr>
      </w:pPr>
      <w:r>
        <w:rPr>
          <w:rFonts w:hint="eastAsia" w:ascii="Times New Roman" w:hAnsi="Times New Roman" w:eastAsia="方正小标宋简体" w:cs="Times New Roman"/>
          <w:color w:val="auto"/>
          <w:sz w:val="44"/>
          <w:szCs w:val="44"/>
        </w:rPr>
        <w:t>推动卓越大学建设跃上新台阶</w:t>
      </w:r>
    </w:p>
    <w:p>
      <w:pPr>
        <w:spacing w:line="5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——在学校第十一届教职工代表大会暨第十三届工会会员代表大会第三次会议上的报告</w:t>
      </w:r>
    </w:p>
    <w:p>
      <w:pPr>
        <w:widowControl/>
        <w:spacing w:line="580" w:lineRule="exact"/>
        <w:jc w:val="center"/>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校长</w:t>
      </w:r>
      <w:r>
        <w:rPr>
          <w:rFonts w:ascii="Calibri" w:hAnsi="Calibri" w:eastAsia="仿宋_GB2312" w:cs="Calibri"/>
          <w:color w:val="auto"/>
          <w:kern w:val="0"/>
          <w:sz w:val="32"/>
          <w:szCs w:val="32"/>
        </w:rPr>
        <w:t>  </w:t>
      </w:r>
      <w:r>
        <w:rPr>
          <w:rFonts w:hint="eastAsia" w:ascii="Calibri" w:hAnsi="Calibri" w:eastAsia="仿宋_GB2312" w:cs="Calibri"/>
          <w:color w:val="auto"/>
          <w:kern w:val="0"/>
          <w:sz w:val="32"/>
          <w:szCs w:val="32"/>
        </w:rPr>
        <w:t xml:space="preserve"> </w:t>
      </w:r>
      <w:r>
        <w:rPr>
          <w:rFonts w:hint="eastAsia" w:ascii="仿宋_GB2312" w:hAnsi="仿宋_GB2312" w:eastAsia="仿宋_GB2312" w:cs="仿宋_GB2312"/>
          <w:color w:val="auto"/>
          <w:kern w:val="0"/>
          <w:sz w:val="32"/>
          <w:szCs w:val="32"/>
        </w:rPr>
        <w:t>郁建兴</w:t>
      </w:r>
    </w:p>
    <w:p>
      <w:pPr>
        <w:widowControl/>
        <w:spacing w:line="580" w:lineRule="exact"/>
        <w:jc w:val="center"/>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2022年9</w:t>
      </w:r>
      <w:r>
        <w:rPr>
          <w:rFonts w:hint="eastAsia" w:ascii="仿宋_GB2312" w:hAnsi="仿宋_GB2312" w:eastAsia="仿宋_GB2312" w:cs="仿宋_GB2312"/>
          <w:color w:val="auto"/>
          <w:kern w:val="0"/>
          <w:sz w:val="32"/>
          <w:szCs w:val="32"/>
        </w:rPr>
        <w:t>月</w:t>
      </w:r>
      <w:r>
        <w:rPr>
          <w:rFonts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rPr>
        <w:t>日）</w:t>
      </w:r>
    </w:p>
    <w:p>
      <w:pPr>
        <w:pStyle w:val="2"/>
        <w:spacing w:line="580" w:lineRule="exact"/>
        <w:rPr>
          <w:color w:val="auto"/>
        </w:rPr>
      </w:pPr>
    </w:p>
    <w:p>
      <w:pPr>
        <w:spacing w:line="580" w:lineRule="exact"/>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各位代表</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同志们：</w:t>
      </w:r>
    </w:p>
    <w:p>
      <w:pPr>
        <w:spacing w:line="580" w:lineRule="exact"/>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本次会议是在落实学校第三次党代会精神、实施“十四五”发展规划的第二个年头，乘势而上建设卓越大学的关键节点上召开的一次重要会议。主要任务是，全面贯彻落实习近平同志2004年视察浙江工商大学时的重要指示和</w:t>
      </w:r>
      <w:r>
        <w:rPr>
          <w:rFonts w:ascii="Times New Roman" w:hAnsi="Times New Roman" w:eastAsia="仿宋_GB2312" w:cs="Times New Roman"/>
          <w:bCs/>
          <w:color w:val="auto"/>
          <w:sz w:val="32"/>
          <w:szCs w:val="32"/>
        </w:rPr>
        <w:t>202</w:t>
      </w:r>
      <w:r>
        <w:rPr>
          <w:rFonts w:hint="eastAsia" w:ascii="Times New Roman" w:hAnsi="Times New Roman" w:eastAsia="仿宋_GB2312" w:cs="Times New Roman"/>
          <w:bCs/>
          <w:color w:val="auto"/>
          <w:sz w:val="32"/>
          <w:szCs w:val="32"/>
        </w:rPr>
        <w:t>1年校庆时对学校的祝贺关爱精神</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按照学校第三次党代会和“十四五”发展规划部署要求，秉承“三根链条”的办学理念</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以“五大卓越体系”建设为关键，团结引领全校教职员工坚定信心、奋力拼搏，推动卓越大学建设跃上新台阶。</w:t>
      </w:r>
    </w:p>
    <w:p>
      <w:pPr>
        <w:spacing w:line="580" w:lineRule="exact"/>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现在，我向大会报告学校工作，提请各位代表讨论、审议，也请列席会议的同志提出意见。</w:t>
      </w:r>
    </w:p>
    <w:p>
      <w:pPr>
        <w:spacing w:line="580" w:lineRule="exact"/>
        <w:ind w:firstLine="643"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一、上次</w:t>
      </w:r>
      <w:r>
        <w:rPr>
          <w:rFonts w:hint="eastAsia" w:ascii="Times New Roman" w:hAnsi="Times New Roman" w:eastAsia="仿宋_GB2312" w:cs="Times New Roman"/>
          <w:b/>
          <w:color w:val="auto"/>
          <w:sz w:val="32"/>
          <w:szCs w:val="32"/>
          <w:lang w:eastAsia="zh-CN"/>
        </w:rPr>
        <w:t>“双代会”</w:t>
      </w:r>
      <w:r>
        <w:rPr>
          <w:rFonts w:hint="eastAsia" w:ascii="Times New Roman" w:hAnsi="Times New Roman" w:eastAsia="仿宋_GB2312" w:cs="Times New Roman"/>
          <w:b/>
          <w:color w:val="auto"/>
          <w:sz w:val="32"/>
          <w:szCs w:val="32"/>
        </w:rPr>
        <w:t>以来学校主要工作回顾</w:t>
      </w:r>
    </w:p>
    <w:p>
      <w:pPr>
        <w:spacing w:line="580" w:lineRule="exact"/>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人才培养是大学的核心使命，教师发展是办学治校的根本力量，治理现代化是大学发展的支撑和保证。自上次</w:t>
      </w:r>
      <w:r>
        <w:rPr>
          <w:rFonts w:hint="eastAsia" w:ascii="Times New Roman" w:hAnsi="Times New Roman" w:eastAsia="仿宋_GB2312" w:cs="Times New Roman"/>
          <w:bCs/>
          <w:color w:val="auto"/>
          <w:sz w:val="32"/>
          <w:szCs w:val="32"/>
          <w:lang w:eastAsia="zh-CN"/>
        </w:rPr>
        <w:t>“双代会”</w:t>
      </w:r>
      <w:r>
        <w:rPr>
          <w:rFonts w:hint="eastAsia" w:ascii="Times New Roman" w:hAnsi="Times New Roman" w:eastAsia="仿宋_GB2312" w:cs="Times New Roman"/>
          <w:bCs/>
          <w:color w:val="auto"/>
          <w:sz w:val="32"/>
          <w:szCs w:val="32"/>
        </w:rPr>
        <w:t>以来，学校秉持“以学</w:t>
      </w:r>
      <w:bookmarkStart w:id="0" w:name="_GoBack"/>
      <w:bookmarkEnd w:id="0"/>
      <w:r>
        <w:rPr>
          <w:rFonts w:hint="eastAsia" w:ascii="Times New Roman" w:hAnsi="Times New Roman" w:eastAsia="仿宋_GB2312" w:cs="Times New Roman"/>
          <w:bCs/>
          <w:color w:val="auto"/>
          <w:sz w:val="32"/>
          <w:szCs w:val="32"/>
        </w:rPr>
        <w:t>生为中心，以教师为根本，以改革为动力”的发展理念，聚焦高质量的发展，推动卓越大学建设取得显著成效。学校党委入选全省高校党建工作示范高校，新增2个党支部入选全国党建工作样板支部；成功举办建校110周年庆祝大会，得到习近平总书记的祝贺；发布数字高校1.0版本，打造数字高校标杆；实施“数字+”学科发展计划，以数字化手段推动学科建设；服务共同富裕示范区建设，筹建全国首家贯通本硕博国民教育体系的慈善学院，入列2021年度全国十大慈善文化事件；深化智库建设，积极发挥重要窗口研究院、浙商研究院等研究基地和智库平台的作用；共同富裕、双循环新发展格局、数字化改革等研究小组成果丰硕，研究成果获得习近平总书记肯定性批示。总体上，学校各项事业发展呈现崭新局面，“五大卓越体系”建设成效初显。</w:t>
      </w:r>
    </w:p>
    <w:p>
      <w:pPr>
        <w:widowControl/>
        <w:spacing w:line="580" w:lineRule="exact"/>
        <w:ind w:firstLine="643" w:firstLineChars="200"/>
        <w:rPr>
          <w:rFonts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b/>
          <w:bCs/>
          <w:color w:val="auto"/>
          <w:sz w:val="32"/>
          <w:szCs w:val="32"/>
        </w:rPr>
        <w:t>1.以学生为中心，关爱学生成长成才的体制机制不断健全。</w:t>
      </w:r>
      <w:r>
        <w:rPr>
          <w:rFonts w:hint="eastAsia" w:ascii="Times New Roman" w:hAnsi="Times New Roman" w:eastAsia="仿宋_GB2312" w:cs="Times New Roman"/>
          <w:color w:val="auto"/>
          <w:sz w:val="32"/>
          <w:szCs w:val="32"/>
        </w:rPr>
        <w:t>一年来，我们围绕“关爱学生成长成才”建章立制，不断完善人才培养全链接，人才培养质量不断提高。（1）打造一流本科教育，新增</w:t>
      </w:r>
      <w:r>
        <w:rPr>
          <w:rFonts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个专业入选国家级一流本科专业建设点，总数达到32个。科创大楼（产教融合基地）被纳入浙江省“十四五”时期教育强国推进工程储备库。1名教师获“全国教材建设先进个人”称号。1名教师获全国五一劳动奖章。2名教师获得浙江省青教赛特等奖。</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名教师获全国高校教师教学创新大赛二等奖。学校获批国家级高等教育智慧教育平台试点高校。在全国人文社科类本科院校学科竞赛排行榜中连续两年排名第一。通识教育艺术体验实践基地获评全国美育先进单位。校女子篮球队在第二十四届CUBA中国大学生篮球赛二级联赛中再获全国总冠军。（2）推进卓越研究生教育，</w:t>
      </w:r>
      <w:r>
        <w:rPr>
          <w:rFonts w:hint="eastAsia" w:ascii="Times New Roman" w:hAnsi="Times New Roman" w:eastAsia="仿宋_GB2312" w:cs="Times New Roman"/>
          <w:color w:val="auto"/>
          <w:kern w:val="0"/>
          <w:sz w:val="32"/>
          <w:szCs w:val="32"/>
          <w:lang w:bidi="ar"/>
        </w:rPr>
        <w:t>获批港澳台博士研究生招生资格。获省优秀博士学位论文1篇，获省优秀研究生教学案例28篇。（3）落实立德树人根本任务，服务学生成长成才。启动关爱学生成长计划，设立关爱学生成长基金，推出“诉说与倾听”师生餐叙活动。提升辅导员综合素质，设立卓越辅导员基金，开展“卓越辅导员培育计划”，做好卓越辅导员的选树与宣传工作，并已评出</w:t>
      </w:r>
      <w:r>
        <w:rPr>
          <w:rFonts w:ascii="Times New Roman" w:hAnsi="Times New Roman" w:eastAsia="仿宋_GB2312" w:cs="Times New Roman"/>
          <w:color w:val="auto"/>
          <w:kern w:val="0"/>
          <w:sz w:val="32"/>
          <w:szCs w:val="32"/>
          <w:lang w:bidi="ar"/>
        </w:rPr>
        <w:t>5</w:t>
      </w:r>
      <w:r>
        <w:rPr>
          <w:rFonts w:hint="eastAsia" w:ascii="Times New Roman" w:hAnsi="Times New Roman" w:eastAsia="仿宋_GB2312" w:cs="Times New Roman"/>
          <w:color w:val="auto"/>
          <w:kern w:val="0"/>
          <w:sz w:val="32"/>
          <w:szCs w:val="32"/>
          <w:lang w:bidi="ar"/>
        </w:rPr>
        <w:t>名卓越辅导员。（4）提升教育国际化水平，加强与英国萨塞克斯大学合作，推进人工智能学院建设。提高国际学生教育和管理水平。（5）将校友工作纳入人才培养全周期链条，成功举办百年校庆，教育基金会年度筹款项目数和总金额均实现历史性突破。以校庆为契机，学校的影响力和美誉度大幅提升，校友归属感、获得感不断增强。</w:t>
      </w:r>
    </w:p>
    <w:p>
      <w:pPr>
        <w:widowControl/>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2.以教师为根本，尊师重教的校园风尚不断形成。</w:t>
      </w:r>
      <w:r>
        <w:rPr>
          <w:rFonts w:hint="eastAsia" w:ascii="Times New Roman" w:hAnsi="Times New Roman" w:eastAsia="仿宋_GB2312" w:cs="Times New Roman"/>
          <w:color w:val="auto"/>
          <w:sz w:val="32"/>
          <w:szCs w:val="32"/>
        </w:rPr>
        <w:t>一年来，我们为教师的成长发展创造条件、搭建平台、营造环境，关爱教师职业生涯的全过程，人才师资队伍获得高质量发展。</w:t>
      </w:r>
      <w:r>
        <w:rPr>
          <w:rFonts w:ascii="Times New Roman" w:hAnsi="Times New Roman" w:eastAsia="仿宋_GB2312" w:cs="Times New Roman"/>
          <w:color w:val="auto"/>
          <w:sz w:val="32"/>
          <w:szCs w:val="32"/>
        </w:rPr>
        <w:t xml:space="preserve">  </w:t>
      </w:r>
    </w:p>
    <w:p>
      <w:pPr>
        <w:widowControl/>
        <w:spacing w:line="580" w:lineRule="exact"/>
        <w:ind w:firstLine="0" w:firstLineChars="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（1）人才引育获得新突破。去年，学校入选国家“万人计划”科技领军人才1人、国家“万人计划”青年拔尖人才1人、浙江省特级专家1人，国家自然科学基金优秀青年基金获得者</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1人，国家宣传思想文化青年英才1人，依托我校申报国家级人才项目入选者2人。学校共引育国家级人才</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人，实现了人才工作的重要突破。今年以来，新增长江学者、海外杰青、国家千人、国家万人领军、国家万人青拔等国家级人才5人次，教育部“新世纪优秀人才计划”1人次。（2）营造尊师重教的“软环境”，</w:t>
      </w:r>
      <w:r>
        <w:rPr>
          <w:rFonts w:hint="eastAsia" w:ascii="Times New Roman" w:hAnsi="Times New Roman" w:eastAsia="仿宋_GB2312" w:cs="Times New Roman"/>
          <w:color w:val="auto"/>
          <w:kern w:val="0"/>
          <w:sz w:val="32"/>
          <w:szCs w:val="32"/>
          <w:lang w:bidi="ar"/>
        </w:rPr>
        <w:t>健全教师荣誉制度，办好“商大欢迎您”“商大祝贺您”“商大感谢您”等系列活动，推动师德师风教育常态化制度化。优先保障人员支出，持续改善职工福利待遇，去年兑现以前年度绩效考核奖35%部分约2600万元，职工住房公积金缴存标准连续多年呈两位数增长。（3）高度重视</w:t>
      </w:r>
      <w:r>
        <w:rPr>
          <w:rFonts w:hint="eastAsia" w:ascii="Times New Roman" w:hAnsi="Times New Roman" w:eastAsia="仿宋_GB2312" w:cs="Times New Roman"/>
          <w:color w:val="auto"/>
          <w:sz w:val="32"/>
          <w:szCs w:val="32"/>
        </w:rPr>
        <w:t>学科建设、科学研究、社会服务工作，为教师发展搭建平台。新增马克思主义理论一级博士点。新增</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个学科特别是“一般社会科学”入选ESI前1%。发布“数字+”学科建设行动计划。深化与中国人民大学的战略合作，共建6个一级学科。国家社科基金立项数连续列全国高校第18、16位</w:t>
      </w:r>
      <w:r>
        <w:rPr>
          <w:rFonts w:hint="eastAsia" w:ascii="Times New Roman" w:hAnsi="Times New Roman" w:eastAsia="仿宋_GB2312" w:cs="Times New Roman"/>
          <w:bCs/>
          <w:color w:val="auto"/>
          <w:sz w:val="32"/>
          <w:szCs w:val="32"/>
        </w:rPr>
        <w:t>。19项科研成果获浙江省第二十一届哲学社会科学优秀成果奖。</w:t>
      </w:r>
      <w:r>
        <w:rPr>
          <w:rFonts w:hint="eastAsia" w:ascii="Times New Roman" w:hAnsi="Times New Roman" w:eastAsia="仿宋_GB2312" w:cs="Times New Roman"/>
          <w:color w:val="auto"/>
          <w:kern w:val="0"/>
          <w:sz w:val="32"/>
          <w:szCs w:val="32"/>
          <w:lang w:bidi="ar"/>
        </w:rPr>
        <w:t>获批</w:t>
      </w:r>
      <w:r>
        <w:rPr>
          <w:rFonts w:ascii="Times New Roman" w:hAnsi="Times New Roman" w:eastAsia="仿宋_GB2312" w:cs="Times New Roman"/>
          <w:color w:val="auto"/>
          <w:kern w:val="0"/>
          <w:sz w:val="32"/>
          <w:szCs w:val="32"/>
          <w:lang w:bidi="ar"/>
        </w:rPr>
        <w:t xml:space="preserve"> 1 </w:t>
      </w:r>
      <w:r>
        <w:rPr>
          <w:rFonts w:hint="eastAsia" w:ascii="Times New Roman" w:hAnsi="Times New Roman" w:eastAsia="仿宋_GB2312" w:cs="Times New Roman"/>
          <w:color w:val="auto"/>
          <w:kern w:val="0"/>
          <w:sz w:val="32"/>
          <w:szCs w:val="32"/>
          <w:lang w:bidi="ar"/>
        </w:rPr>
        <w:t>项科技部“111”引智计划。获批</w:t>
      </w:r>
      <w:r>
        <w:rPr>
          <w:rFonts w:ascii="Times New Roman" w:hAnsi="Times New Roman" w:eastAsia="仿宋_GB2312" w:cs="Times New Roman"/>
          <w:color w:val="auto"/>
          <w:kern w:val="0"/>
          <w:sz w:val="32"/>
          <w:szCs w:val="32"/>
          <w:lang w:bidi="ar"/>
        </w:rPr>
        <w:t xml:space="preserve"> 1 </w:t>
      </w:r>
      <w:r>
        <w:rPr>
          <w:rFonts w:hint="eastAsia" w:ascii="Times New Roman" w:hAnsi="Times New Roman" w:eastAsia="仿宋_GB2312" w:cs="Times New Roman"/>
          <w:color w:val="auto"/>
          <w:kern w:val="0"/>
          <w:sz w:val="32"/>
          <w:szCs w:val="32"/>
          <w:lang w:bidi="ar"/>
        </w:rPr>
        <w:t>个国家级教育对外交流项目，日本研究中心入选区域和国别研究全国高水平建设单位。打造好重要窗口研究院等高端智库建设，去年获得中央和省部级领导肯定性批示超过60项。今年来，获得省部级以上领导肯定性批示30余</w:t>
      </w:r>
      <w:r>
        <w:rPr>
          <w:rFonts w:hint="eastAsia" w:ascii="Times New Roman" w:hAnsi="Times New Roman" w:eastAsia="仿宋_GB2312" w:cs="Times New Roman"/>
          <w:color w:val="auto"/>
          <w:kern w:val="2"/>
          <w:sz w:val="32"/>
          <w:szCs w:val="32"/>
          <w:lang w:bidi="ar"/>
        </w:rPr>
        <w:t>项。（4）积极发挥银发正能量，推进“银发工程”，校关工委获“全国教育系统关心下一代工作先进集体”，学校获“全省老干部工作先进集体”。</w:t>
      </w:r>
    </w:p>
    <w:p>
      <w:pPr>
        <w:widowControl/>
        <w:spacing w:line="580" w:lineRule="exact"/>
        <w:ind w:firstLine="643"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rPr>
        <w:t>3.以改革为动力，治理能力和治理水平现代化不断推进。</w:t>
      </w:r>
      <w:r>
        <w:rPr>
          <w:rFonts w:hint="eastAsia" w:ascii="Times New Roman" w:hAnsi="Times New Roman" w:eastAsia="仿宋_GB2312" w:cs="Times New Roman"/>
          <w:color w:val="auto"/>
          <w:sz w:val="32"/>
          <w:szCs w:val="32"/>
        </w:rPr>
        <w:t>一年来，我们深化教育综合改革，推进治理体系和治理能力现代化，不断完善现代大学制度。学校获</w:t>
      </w:r>
      <w:r>
        <w:rPr>
          <w:rFonts w:hint="eastAsia" w:ascii="Times New Roman" w:hAnsi="Times New Roman" w:eastAsia="仿宋_GB2312" w:cs="Times New Roman"/>
          <w:color w:val="auto"/>
          <w:kern w:val="2"/>
          <w:sz w:val="32"/>
          <w:szCs w:val="32"/>
          <w:lang w:bidi="ar"/>
        </w:rPr>
        <w:t>评浙江省“2021年度法治浙江（法治政府）建设优秀单位”、</w:t>
      </w:r>
      <w:r>
        <w:rPr>
          <w:rFonts w:hint="eastAsia" w:ascii="Times New Roman" w:hAnsi="Times New Roman" w:eastAsia="仿宋_GB2312" w:cs="Times New Roman"/>
          <w:color w:val="auto"/>
          <w:sz w:val="32"/>
          <w:szCs w:val="32"/>
        </w:rPr>
        <w:t>浙江省深化教育评价改革综合试点高校、首批“浙江省绿色学校（高等学校）”</w:t>
      </w:r>
      <w:r>
        <w:rPr>
          <w:rFonts w:hint="eastAsia" w:ascii="Times New Roman" w:hAnsi="Times New Roman" w:eastAsia="仿宋_GB2312" w:cs="Times New Roman"/>
          <w:color w:val="auto"/>
          <w:sz w:val="32"/>
          <w:szCs w:val="32"/>
          <w:lang w:eastAsia="zh-CN"/>
        </w:rPr>
        <w:t>。</w:t>
      </w:r>
    </w:p>
    <w:p>
      <w:pPr>
        <w:widowControl/>
        <w:spacing w:line="580" w:lineRule="exact"/>
        <w:ind w:firstLine="0" w:firstLineChars="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着力破除“五唯”顽疾，扭转不科学的教育评价导向，成立教育评价改革领导小组，制订《推进教育评价改革工作方案》。（2）推进校院两级管理体制机制改革，试点推行“一院一策”学院自主权改革工作。（3）面对数字化改革“蓝海”，全力打造“数字高校”标杆，发布“数字高校”1.0</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版，</w:t>
      </w:r>
      <w:r>
        <w:rPr>
          <w:rFonts w:hint="eastAsia" w:ascii="Times New Roman" w:hAnsi="Times New Roman" w:eastAsia="仿宋_GB2312" w:cs="Times New Roman"/>
          <w:color w:val="auto"/>
          <w:kern w:val="0"/>
          <w:sz w:val="32"/>
          <w:szCs w:val="32"/>
          <w:lang w:bidi="ar"/>
        </w:rPr>
        <w:t>数字高校建设成果获袁家军书记肯定性批示。</w:t>
      </w:r>
      <w:r>
        <w:rPr>
          <w:rFonts w:hint="eastAsia" w:ascii="Times New Roman" w:hAnsi="Times New Roman" w:eastAsia="仿宋_GB2312" w:cs="Times New Roman"/>
          <w:color w:val="auto"/>
          <w:sz w:val="32"/>
          <w:szCs w:val="32"/>
        </w:rPr>
        <w:t>推进“师生一件事”集成改革，“师生之家”校园智慧综合体投入使用，为师生办实事。（4）深化人才评价、职称评审改革。修订《专业技术职务评聘办法（试行）》，推进人才评价体系和职称评审制度改革，推进权力下放，</w:t>
      </w:r>
      <w:r>
        <w:rPr>
          <w:rFonts w:hint="eastAsia" w:ascii="Times New Roman" w:hAnsi="Times New Roman" w:eastAsia="仿宋_GB2312" w:cs="Times New Roman"/>
          <w:color w:val="auto"/>
          <w:kern w:val="0"/>
          <w:sz w:val="32"/>
          <w:szCs w:val="32"/>
          <w:lang w:bidi="ar"/>
        </w:rPr>
        <w:t>扩大学院职称评审自主权</w:t>
      </w:r>
      <w:r>
        <w:rPr>
          <w:rFonts w:hint="eastAsia" w:ascii="Times New Roman" w:hAnsi="Times New Roman" w:eastAsia="仿宋_GB2312" w:cs="Times New Roman"/>
          <w:color w:val="auto"/>
          <w:sz w:val="32"/>
          <w:szCs w:val="32"/>
        </w:rPr>
        <w:t>。制定</w:t>
      </w:r>
      <w:r>
        <w:rPr>
          <w:rFonts w:hint="eastAsia" w:ascii="Times New Roman" w:hAnsi="Times New Roman" w:eastAsia="仿宋_GB2312" w:cs="Times New Roman"/>
          <w:color w:val="auto"/>
          <w:kern w:val="0"/>
          <w:sz w:val="32"/>
          <w:szCs w:val="32"/>
          <w:lang w:val="zh-CN"/>
        </w:rPr>
        <w:t>引进人才绿色通道职称评审条件，</w:t>
      </w:r>
      <w:r>
        <w:rPr>
          <w:rFonts w:hint="eastAsia" w:ascii="Times New Roman" w:hAnsi="Times New Roman" w:eastAsia="仿宋_GB2312" w:cs="Times New Roman"/>
          <w:color w:val="auto"/>
          <w:sz w:val="32"/>
          <w:szCs w:val="32"/>
        </w:rPr>
        <w:t>激发人才创新活力。（5）完善科研管理的体制机制。</w:t>
      </w:r>
      <w:r>
        <w:rPr>
          <w:rFonts w:hint="eastAsia" w:ascii="Times New Roman" w:hAnsi="Times New Roman" w:eastAsia="仿宋_GB2312" w:cs="Times New Roman"/>
          <w:color w:val="auto"/>
          <w:kern w:val="0"/>
          <w:sz w:val="32"/>
          <w:szCs w:val="32"/>
          <w:lang w:bidi="ar"/>
        </w:rPr>
        <w:t>修订《科研机构管理办法》，规范和完善学校科研机构的管理。健全科研经费管理制度和流程。推动科研评价改革，构建起分层分类的科研评价体系。</w:t>
      </w:r>
    </w:p>
    <w:p>
      <w:pPr>
        <w:numPr>
          <w:ilvl w:val="0"/>
          <w:numId w:val="1"/>
        </w:numPr>
        <w:spacing w:line="580" w:lineRule="exact"/>
        <w:ind w:firstLine="643"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当前面临形势与存在的不足</w:t>
      </w:r>
    </w:p>
    <w:p>
      <w:pPr>
        <w:pStyle w:val="2"/>
        <w:spacing w:after="0" w:line="580" w:lineRule="exact"/>
        <w:ind w:left="0" w:leftChars="0"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当前，复杂的国际、国内形势对我们提出新的要求。学校自身发展短板需要我们时刻保持清醒。面对复杂多变的国内外形势和限制自身发展的短板不足，我们要切实增强紧迫感使命感，把握大势、主动作为，认清问题，迎难而上，全力办好自己的事，以确定性的工作应对不确定的形势。</w:t>
      </w:r>
    </w:p>
    <w:p>
      <w:pPr>
        <w:spacing w:line="580"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（一）面临形势与任务</w:t>
      </w:r>
    </w:p>
    <w:p>
      <w:pPr>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rPr>
        <w:t>放眼国际形势，</w:t>
      </w:r>
      <w:r>
        <w:rPr>
          <w:rFonts w:hint="eastAsia" w:ascii="Times New Roman" w:hAnsi="Times New Roman" w:eastAsia="仿宋_GB2312" w:cs="Times New Roman"/>
          <w:color w:val="auto"/>
          <w:sz w:val="32"/>
          <w:szCs w:val="32"/>
        </w:rPr>
        <w:t>世界百年未有之大变局加速演进，世界进入新的动荡变革时期，和平与发展的时代主题面临挑战。中国崛起和数字时代到来，成为主导世界的两股力量。全球疫情仍在持续，世界经济复苏动力不足。</w:t>
      </w:r>
      <w:r>
        <w:rPr>
          <w:rFonts w:hint="eastAsia" w:ascii="Times New Roman" w:hAnsi="Times New Roman" w:eastAsia="仿宋_GB2312" w:cs="Times New Roman"/>
          <w:b w:val="0"/>
          <w:bCs w:val="0"/>
          <w:color w:val="auto"/>
          <w:sz w:val="32"/>
          <w:szCs w:val="32"/>
        </w:rPr>
        <w:t>纵观国内形势，</w:t>
      </w:r>
      <w:r>
        <w:rPr>
          <w:rFonts w:hint="eastAsia" w:ascii="Times New Roman" w:hAnsi="Times New Roman" w:eastAsia="仿宋_GB2312" w:cs="Times New Roman"/>
          <w:color w:val="auto"/>
          <w:sz w:val="32"/>
          <w:szCs w:val="32"/>
        </w:rPr>
        <w:t>复杂演变的国际局势和跌宕反复的新冠肺炎疫情等超预期因素叠加，不断给我国经济社会发展带来冲击。在当前经济形势极为严峻复杂、全球经济下行压力明显加大态势下，我国经济迎难而上、平稳开局，确保经济合理运行，成效初显。浙江抓住高质量发展“题眼”，探索更具普遍意义的“共富经验”；6月召开的省第十五次党代会，明确浙江发展未来五年乃至更长一个时期的战略部署，开启了奋力建设“两个先行”的新征程。</w:t>
      </w:r>
    </w:p>
    <w:p>
      <w:pPr>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rPr>
        <w:t>国内外形势对高等教育提出新的更高要求。大学作为推动人类文明进步、社会改革创新的源头活水，在人类社会的历史进程中发挥着越来越重要的作用。</w:t>
      </w:r>
      <w:r>
        <w:rPr>
          <w:rFonts w:hint="eastAsia" w:ascii="Times New Roman" w:hAnsi="Times New Roman" w:eastAsia="仿宋_GB2312" w:cs="Times New Roman"/>
          <w:color w:val="auto"/>
          <w:kern w:val="0"/>
          <w:sz w:val="32"/>
          <w:szCs w:val="32"/>
        </w:rPr>
        <w:t>面对时代之问，</w:t>
      </w:r>
      <w:r>
        <w:rPr>
          <w:rFonts w:hint="eastAsia" w:ascii="Times New Roman" w:hAnsi="Times New Roman" w:eastAsia="仿宋_GB2312" w:cs="Times New Roman"/>
          <w:b w:val="0"/>
          <w:bCs w:val="0"/>
          <w:color w:val="auto"/>
          <w:sz w:val="32"/>
          <w:szCs w:val="32"/>
        </w:rPr>
        <w:t>如何从历史发展和文明进步高度思考大学的社会责任和前进方向，在充满不确定性的世界中行稳致远？</w:t>
      </w:r>
      <w:r>
        <w:rPr>
          <w:rFonts w:hint="eastAsia" w:ascii="Times New Roman" w:hAnsi="Times New Roman" w:eastAsia="仿宋_GB2312" w:cs="Times New Roman"/>
          <w:color w:val="auto"/>
          <w:sz w:val="32"/>
          <w:szCs w:val="32"/>
        </w:rPr>
        <w:t>正如习近平总书记在4月25日考察中国人民大学时指出：国际形势进入新的动荡期。要加快建构中国自主的知识体系，让世界更好读懂中国，为推动构建人类命运共同体作出积极贡献。</w:t>
      </w:r>
    </w:p>
    <w:p>
      <w:pPr>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rPr>
        <w:t>高等教育必须扛起责任。我们要站在担当国家使命的高度，</w:t>
      </w:r>
      <w:r>
        <w:rPr>
          <w:rFonts w:hint="eastAsia" w:ascii="Times New Roman" w:hAnsi="Times New Roman" w:eastAsia="仿宋_GB2312" w:cs="Times New Roman"/>
          <w:color w:val="auto"/>
          <w:sz w:val="32"/>
          <w:szCs w:val="32"/>
        </w:rPr>
        <w:t>不断思考如何培养出适应新时代社会发展要求和世界趋势的、堪当民族复兴重任的时代新人，</w:t>
      </w:r>
      <w:r>
        <w:rPr>
          <w:rFonts w:hint="eastAsia" w:ascii="Times New Roman" w:hAnsi="Times New Roman" w:eastAsia="仿宋_GB2312" w:cs="Times New Roman"/>
          <w:color w:val="auto"/>
          <w:kern w:val="0"/>
          <w:sz w:val="32"/>
          <w:szCs w:val="32"/>
        </w:rPr>
        <w:t>以育人质量提升带动办学水平整体跃升。要努力推动教育变革、科技进步与社会发展相融合，</w:t>
      </w:r>
      <w:r>
        <w:rPr>
          <w:rFonts w:hint="eastAsia" w:ascii="Times New Roman" w:hAnsi="Times New Roman" w:eastAsia="仿宋_GB2312" w:cs="Times New Roman"/>
          <w:color w:val="auto"/>
          <w:sz w:val="32"/>
          <w:szCs w:val="32"/>
        </w:rPr>
        <w:t>积极参与</w:t>
      </w:r>
      <w:r>
        <w:rPr>
          <w:rFonts w:hint="eastAsia" w:ascii="Times New Roman" w:hAnsi="Times New Roman" w:eastAsia="仿宋_GB2312" w:cs="Times New Roman"/>
          <w:color w:val="auto"/>
          <w:kern w:val="0"/>
          <w:sz w:val="32"/>
          <w:szCs w:val="32"/>
        </w:rPr>
        <w:t>国家和区域重大战略</w:t>
      </w:r>
      <w:r>
        <w:rPr>
          <w:rFonts w:hint="eastAsia" w:ascii="Times New Roman" w:hAnsi="Times New Roman" w:eastAsia="仿宋_GB2312" w:cs="Times New Roman"/>
          <w:color w:val="auto"/>
          <w:sz w:val="32"/>
          <w:szCs w:val="32"/>
        </w:rPr>
        <w:t>，深入开展理论和实践研究，</w:t>
      </w:r>
      <w:r>
        <w:rPr>
          <w:rFonts w:hint="eastAsia" w:ascii="Times New Roman" w:hAnsi="Times New Roman" w:eastAsia="仿宋_GB2312" w:cs="Times New Roman"/>
          <w:color w:val="auto"/>
          <w:kern w:val="0"/>
          <w:sz w:val="32"/>
          <w:szCs w:val="32"/>
        </w:rPr>
        <w:t>以高效能治理助推高质量发展，</w:t>
      </w:r>
      <w:r>
        <w:rPr>
          <w:rFonts w:hint="eastAsia" w:ascii="Times New Roman" w:hAnsi="Times New Roman" w:eastAsia="仿宋_GB2312" w:cs="Times New Roman"/>
          <w:color w:val="auto"/>
          <w:sz w:val="32"/>
          <w:szCs w:val="32"/>
        </w:rPr>
        <w:t>为国家和区域经济社会发展提供智力支持和人才保障。</w:t>
      </w:r>
    </w:p>
    <w:p>
      <w:pPr>
        <w:numPr>
          <w:ilvl w:val="0"/>
          <w:numId w:val="2"/>
        </w:numPr>
        <w:spacing w:line="580"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存在不足</w:t>
      </w:r>
    </w:p>
    <w:p>
      <w:pPr>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新的复杂形势带给我们新的要求和任务，自身的发展瓶颈亟待我们奋力突破。我们清醒认识到，对照国家和浙江省对高等教育发展的要求还有一定差距，学校总体办学实力还不够强，办学经费增长仍不够明显。具体来看：（1）以学生为中心的人才培养体系有待完善，专业、课程建设还需加强，“金专”“金课”“金师”成色还需提升，人才培养主要以知识教育为主，创新教育明显不足；（2）服务教师发展全周期的体系还不健全，高层次人才引进力度不够，流失现象较为严重；学科的显示度、贡献度还不足；科学研究还存在重立项轻产出现象；服务经济社会发展能力和成效还有不足；（3）治理能力和治理水平有待提升，体制机制改革内生动力不足，“一院一策”改革推进力度不够，校院两级管理体制改革还需向纵深引入。这些短板是卓越大学进程中不能回避的，需要我们高度重视、扎实应对、着力破解，以推动学校办学治校水平和综合实力全面提升。</w:t>
      </w:r>
    </w:p>
    <w:p>
      <w:pPr>
        <w:numPr>
          <w:ilvl w:val="0"/>
          <w:numId w:val="1"/>
        </w:numPr>
        <w:spacing w:line="580" w:lineRule="exact"/>
        <w:ind w:firstLine="643"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下一步学校的工作重点</w:t>
      </w:r>
    </w:p>
    <w:p>
      <w:pPr>
        <w:spacing w:line="580" w:lineRule="exact"/>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color w:val="auto"/>
          <w:sz w:val="32"/>
          <w:szCs w:val="32"/>
        </w:rPr>
        <w:t>今年是学校实施“十四五”规划承上启下的关键之年，也是以师生为中心、以改革为动力、加快推进卓越大学内涵建设的重要时期。我们要以“三根链条”为牵引，围绕“五大卓越体系”建设，扎扎实实做好各项工作，认认真真把大学办好，发挥好人才培养、科学研究、社会服务、文化传承、国际交流的重要职能，为国家和我省经济社会发展提供智力和人才支撑。</w:t>
      </w:r>
    </w:p>
    <w:p>
      <w:pPr>
        <w:numPr>
          <w:ilvl w:val="0"/>
          <w:numId w:val="3"/>
        </w:numPr>
        <w:spacing w:line="580"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织密以学生为中心的人才培养体系</w:t>
      </w:r>
    </w:p>
    <w:p>
      <w:pPr>
        <w:spacing w:line="580" w:lineRule="exact"/>
        <w:ind w:firstLine="640" w:firstLineChars="200"/>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中山大学原校长黄达人曾说过：“我们做了那么多改革，推进了那么多事，依然需要经常停下来，问问自己为什么做这个改革，不要走着走着迷失方向。我们要不忘初心，对大学而言，这个初心就是人才培养。”去年以来，我们围绕关爱学生成长成才做了不少实事，出台一些制度。接下来，我们在推进已有制度落细落实的基础上，继续建立健全人才培养体制机制，织密以学生为中心的人才培养体系。</w:t>
      </w:r>
    </w:p>
    <w:p>
      <w:pPr>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1.关爱学生成长成才走深走实。</w:t>
      </w:r>
      <w:r>
        <w:rPr>
          <w:rFonts w:hint="eastAsia" w:ascii="Times New Roman" w:hAnsi="Times New Roman" w:eastAsia="仿宋_GB2312" w:cs="Times New Roman"/>
          <w:color w:val="auto"/>
          <w:sz w:val="32"/>
          <w:szCs w:val="32"/>
        </w:rPr>
        <w:t>我们要建立健全关爱学生成长的体制机制，将“关爱学生”的理念深入贯彻到招生、教学、实践、就业等人才培养的全过程，继续推进卓越辅导员计划，深入推进师生餐叙活动，持续深化以“鸿云成长”“AGREE”数智教学等为代表的学生成长多跨场景的应用，推进服务育人、管理育人，完善沟通学生、服务学生、回应学生的机制。持续深化“三全育人”综合改革，不断构建服务学生成长成才的智慧思政一体化协同格局，打通学生思政“全周期教育链条”；不断深化思政课程和课程思政改革创新，以“大思政”体系塑造青年，把思政课办成“金字招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。同时，做好美育、劳育、体育工作，加强和改进学生心理健康教育，不断提升育人质量。</w:t>
      </w:r>
    </w:p>
    <w:p>
      <w:pPr>
        <w:widowControl/>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2.持续提升教育教学质量。</w:t>
      </w:r>
      <w:r>
        <w:rPr>
          <w:rFonts w:hint="eastAsia" w:ascii="Times New Roman" w:hAnsi="Times New Roman" w:eastAsia="仿宋_GB2312" w:cs="Times New Roman"/>
          <w:color w:val="auto"/>
          <w:sz w:val="32"/>
          <w:szCs w:val="32"/>
        </w:rPr>
        <w:t>立足培养卓越人才的定位，所有学科、专业和课程体系</w:t>
      </w:r>
      <w:r>
        <w:rPr>
          <w:rFonts w:hint="eastAsia" w:ascii="Times New Roman" w:hAnsi="Times New Roman" w:eastAsia="仿宋_GB2312" w:cs="Times New Roman"/>
          <w:color w:val="auto"/>
          <w:sz w:val="32"/>
          <w:szCs w:val="32"/>
          <w:lang w:eastAsia="zh-CN"/>
        </w:rPr>
        <w:t>都</w:t>
      </w:r>
      <w:r>
        <w:rPr>
          <w:rFonts w:hint="eastAsia" w:ascii="Times New Roman" w:hAnsi="Times New Roman" w:eastAsia="仿宋_GB2312" w:cs="Times New Roman"/>
          <w:color w:val="auto"/>
          <w:sz w:val="32"/>
          <w:szCs w:val="32"/>
        </w:rPr>
        <w:t>要进行适当梳理，建立完整的育人标准、育人模式以及课程体系。处理好专业收缩和扩张的关系，不论本、研专业，社会需求不大、师资不强、发展不好的要收缩，相应地，呼应国家发展、时代变化，服务国家和区域战略发展的专业要扩张。着力提高教学质量，让</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金专</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金课</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金师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成色不断提升，让</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水专</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水课</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水师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无处安身。要推进构建研究型教学模式，从传统的知识传授型教学向研究型教学转变，不仅教授学生知识，更要突出能力培养，实现人的全面发展。不断深化教育教学评价改革，制订教育教学持续激励计划，完善教育质量监测和评价体系。推动一流专业和一流课程量质齐升，目前学校有</w:t>
      </w:r>
      <w:r>
        <w:rPr>
          <w:rFonts w:ascii="Times New Roman" w:hAnsi="Times New Roman" w:eastAsia="仿宋_GB2312" w:cs="Times New Roman"/>
          <w:color w:val="auto"/>
          <w:sz w:val="32"/>
          <w:szCs w:val="32"/>
        </w:rPr>
        <w:t>32</w:t>
      </w:r>
      <w:r>
        <w:rPr>
          <w:rFonts w:hint="eastAsia" w:ascii="Times New Roman" w:hAnsi="Times New Roman" w:eastAsia="仿宋_GB2312" w:cs="Times New Roman"/>
          <w:color w:val="auto"/>
          <w:sz w:val="32"/>
          <w:szCs w:val="32"/>
        </w:rPr>
        <w:t>个国家一流专业，12门国家一流课程，要抓好国家一流专业、一流课程的建设工作，不断提升教育教学质量。</w:t>
      </w:r>
    </w:p>
    <w:p>
      <w:pPr>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3.提升研究生培养质量。</w:t>
      </w:r>
      <w:r>
        <w:rPr>
          <w:rFonts w:hint="eastAsia" w:ascii="Times New Roman" w:hAnsi="Times New Roman" w:eastAsia="仿宋_GB2312" w:cs="Times New Roman"/>
          <w:color w:val="auto"/>
          <w:sz w:val="32"/>
          <w:szCs w:val="32"/>
        </w:rPr>
        <w:t>本科生教育是大学的底色，研究生尤其是博士生教育体现人才培养的高度。近年来，我校研究生招生名额大幅增加，但是如果生源质量差，数量增加不见得是好事。因此，要处理好研究生教育中数量和质量的关系，在重“量”的同时要更加注重“质”。重视提升研究生特别是博士生培养质量，对准研究生培养体系上还存在的短板，围绕研究生招生“入口”、课程体系、科研及论文训练、实践、毕业“出口”等环节一一攻破。提高培养要求和培养标准，加强过程管理，持续提升研究生学位论文质量。同时，着力提高研究生待遇。</w:t>
      </w:r>
    </w:p>
    <w:p>
      <w:pPr>
        <w:widowControl/>
        <w:spacing w:line="580" w:lineRule="exact"/>
        <w:ind w:firstLine="643" w:firstLineChars="200"/>
        <w:rPr>
          <w:rFonts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b/>
          <w:bCs/>
          <w:color w:val="auto"/>
          <w:sz w:val="32"/>
          <w:szCs w:val="32"/>
        </w:rPr>
        <w:t>4.大力发展继续教育。</w:t>
      </w:r>
      <w:r>
        <w:rPr>
          <w:rFonts w:hint="eastAsia" w:ascii="Times New Roman" w:hAnsi="Times New Roman" w:eastAsia="仿宋_GB2312" w:cs="Times New Roman"/>
          <w:b w:val="0"/>
          <w:bCs w:val="0"/>
          <w:color w:val="auto"/>
          <w:sz w:val="32"/>
          <w:szCs w:val="32"/>
        </w:rPr>
        <w:t>继续教育是学校人才培养的有机组成部分。</w:t>
      </w:r>
      <w:r>
        <w:rPr>
          <w:rFonts w:hint="eastAsia" w:ascii="Times New Roman" w:hAnsi="Times New Roman" w:eastAsia="仿宋_GB2312" w:cs="Times New Roman"/>
          <w:color w:val="auto"/>
          <w:sz w:val="32"/>
          <w:szCs w:val="32"/>
        </w:rPr>
        <w:t>在年初新学期干部大会上，学校明确“用改革创新的思维突破发展瓶颈，把继续教育实打实做出来”的理念。目前已经取得一些突破。学校与浙商总会签订战略合作框架协议，建立浙江工商大学战略企业家学院，培养高端专业人才。</w:t>
      </w:r>
      <w:r>
        <w:rPr>
          <w:rFonts w:hint="eastAsia" w:ascii="Times New Roman" w:hAnsi="Times New Roman" w:eastAsia="仿宋_GB2312" w:cs="Times New Roman"/>
          <w:color w:val="auto"/>
          <w:kern w:val="0"/>
          <w:sz w:val="32"/>
          <w:szCs w:val="32"/>
          <w:lang w:bidi="ar"/>
        </w:rPr>
        <w:t>下一步，继续推动继续教育工作转型升级，加强组织引导和协调联络，持续打造更多特色培训品牌。</w:t>
      </w:r>
    </w:p>
    <w:p>
      <w:pPr>
        <w:widowControl/>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5.提升校友工作水平。</w:t>
      </w:r>
      <w:r>
        <w:rPr>
          <w:rFonts w:hint="eastAsia" w:ascii="Times New Roman" w:hAnsi="Times New Roman" w:eastAsia="仿宋_GB2312" w:cs="Times New Roman"/>
          <w:color w:val="auto"/>
          <w:sz w:val="32"/>
          <w:szCs w:val="32"/>
        </w:rPr>
        <w:t>校友工作要在110周年校庆基础上继续高位运行。所谓高位运行，高在哪里？一是工作站位要高，这是价值观的问题。我们要站在校友与母校命运共同体的角度，把校友作为学校终生维护的产品，从学生入学到求学到进入社会，我们关心他们的需求，帮助他们成长，不断增加校友对母校的忠诚度、黏连度。二是工作要求要高，通过</w:t>
      </w:r>
      <w:r>
        <w:rPr>
          <w:rFonts w:hint="eastAsia" w:ascii="Times New Roman" w:hAnsi="Times New Roman" w:eastAsia="仿宋_GB2312" w:cs="Times New Roman"/>
          <w:color w:val="auto"/>
          <w:kern w:val="0"/>
          <w:sz w:val="32"/>
          <w:szCs w:val="32"/>
          <w:lang w:bidi="ar"/>
        </w:rPr>
        <w:t xml:space="preserve">完善校院两级校友工作机制，加强校友信息数据库建设，规范基金会建设、拓宽筹资渠道，建立捐赠长效机制等途径，为校友关心和支持学校改革发展搭建平台、做好服务。三是工作成效高，这是在做好前面工作基础之上，最终实现校友工作水平的持续提升。 </w:t>
      </w:r>
    </w:p>
    <w:p>
      <w:pPr>
        <w:spacing w:line="580"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（二）优化以教师为中心的成长发展环境</w:t>
      </w:r>
    </w:p>
    <w:p>
      <w:pPr>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人才队伍建设是学校发展的根基。教育教学、学科科研、社会服务等中心工作，任何一项都离不开教师的参与，也是教师实现职业价值感和幸福感的关键载体。</w:t>
      </w:r>
      <w:r>
        <w:rPr>
          <w:rFonts w:hint="eastAsia" w:ascii="Times New Roman" w:hAnsi="Times New Roman" w:eastAsia="仿宋_GB2312" w:cs="Times New Roman"/>
          <w:color w:val="auto"/>
          <w:sz w:val="32"/>
          <w:szCs w:val="32"/>
        </w:rPr>
        <w:t>建设卓越大学，就是以服务教师发展为中心，推动卓越的人才培养、卓越的学科生态、卓越的科学研究与社会服务，形成相互促进的良性发展模式，深入构建“商大命运共同体”。</w:t>
      </w:r>
    </w:p>
    <w:p>
      <w:pPr>
        <w:widowControl/>
        <w:spacing w:line="58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rPr>
        <w:t>引育并举优化师资结构。</w:t>
      </w:r>
      <w:r>
        <w:rPr>
          <w:rFonts w:hint="eastAsia" w:ascii="Times New Roman" w:hAnsi="Times New Roman" w:eastAsia="仿宋_GB2312" w:cs="Times New Roman"/>
          <w:b w:val="0"/>
          <w:bCs w:val="0"/>
          <w:color w:val="auto"/>
          <w:sz w:val="32"/>
          <w:szCs w:val="32"/>
        </w:rPr>
        <w:t>快速做大高层次人才增量</w:t>
      </w:r>
      <w:r>
        <w:rPr>
          <w:rFonts w:hint="eastAsia" w:ascii="Times New Roman" w:hAnsi="Times New Roman" w:eastAsia="仿宋_GB2312" w:cs="Times New Roman"/>
          <w:color w:val="auto"/>
          <w:sz w:val="32"/>
          <w:szCs w:val="32"/>
        </w:rPr>
        <w:t>。</w:t>
      </w:r>
      <w:r>
        <w:rPr>
          <w:rFonts w:ascii="Times New Roman" w:hAnsi="Times New Roman" w:eastAsia="仿宋_GB2312" w:cs="Times New Roman"/>
          <w:b w:val="0"/>
          <w:bCs w:val="0"/>
          <w:color w:val="auto"/>
          <w:sz w:val="32"/>
          <w:szCs w:val="32"/>
        </w:rPr>
        <w:t xml:space="preserve"> </w:t>
      </w:r>
      <w:r>
        <w:rPr>
          <w:rFonts w:hint="eastAsia" w:ascii="Times New Roman" w:hAnsi="Times New Roman" w:eastAsia="仿宋_GB2312" w:cs="Times New Roman"/>
          <w:color w:val="auto"/>
          <w:sz w:val="32"/>
          <w:szCs w:val="32"/>
        </w:rPr>
        <w:t>学校各学院、学科要明确引才育才的目标任务、重点领域和优先次序，有计划、针对性地引育人才。人才引进方面，优化高层次人才结构，突出“高精尖缺”，实施精准化引进。在青年博士引进过程中，要突出引进优秀人才和学科发展亟需的人才；同时，逐步将“一院一策”改革试点中“配额制”经验扩大到全校层面。人才培育方面，要滴灌式培养人才，学校将对照国家和省级重要人才项目做好人才储备、培育工作。通过大力实施“西湖学者”提升计划、“蓝天计划”“大地计划”等，为教师发展提供更多平台和更好条件。落实二级学院人才工作考核机制，把高层次人才引育工作作为考核核心指标，强化对人才引育和流失工作的考核，彻底扭转有碍人才发展的落后思想，引导各部门、各学院共同做好人才工作。做优人才发展生态，不断开创“以尊才为荣、护才为责、成才为耀、兴才为乐”的生动局面。</w:t>
      </w:r>
    </w:p>
    <w:p>
      <w:pPr>
        <w:widowControl/>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2.持续优化学科生态体系。</w:t>
      </w:r>
      <w:r>
        <w:rPr>
          <w:rFonts w:hint="eastAsia" w:ascii="Times New Roman" w:hAnsi="Times New Roman" w:eastAsia="仿宋_GB2312" w:cs="Times New Roman"/>
          <w:b w:val="0"/>
          <w:bCs w:val="0"/>
          <w:color w:val="auto"/>
          <w:sz w:val="32"/>
          <w:szCs w:val="32"/>
        </w:rPr>
        <w:t>我们要</w:t>
      </w:r>
      <w:r>
        <w:rPr>
          <w:rFonts w:hint="eastAsia" w:ascii="Times New Roman" w:hAnsi="Times New Roman" w:eastAsia="仿宋_GB2312" w:cs="Times New Roman"/>
          <w:color w:val="auto"/>
          <w:sz w:val="32"/>
          <w:szCs w:val="32"/>
        </w:rPr>
        <w:t>对标卓越大学要求，建设“最强学科”。深化“数字+”学科建设，推进学科交叉融合，全面落实“数字+学科”行动计划。做好贯通和融合的文章，进一步加强工商融合、文理融通、相互赋能的落实机制建设；坚守提升文科，加快推进新文科建设；超常规重视理工科、发展理工科；从国家重大需求和学科自身发展出发，重点建设若干特色鲜明、实力雄厚的新兴学科、交叉学科；持续加强马克思主义学院和马克思主义学科建设，积极创建全国重点马克思主义学院；探索一流学科建设和治理的体制机制，构建分类别、多层次的学科发展模式与评价激励机制。提前谋划重要学科任务，围绕冲击一流学科、教育部学科评估、新一轮学位点申报等中心工作，做好统筹谋划。持续深化、做实与中国人民大学等单位的合作，不断提升学科共建水平。</w:t>
      </w:r>
    </w:p>
    <w:p>
      <w:pPr>
        <w:widowControl/>
        <w:spacing w:line="580" w:lineRule="exact"/>
        <w:ind w:firstLine="643"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3.开展高水平科研与社会服务。</w:t>
      </w:r>
      <w:r>
        <w:rPr>
          <w:rFonts w:ascii="Times New Roman" w:hAnsi="Times New Roman" w:eastAsia="仿宋_GB2312" w:cs="Times New Roman"/>
          <w:b w:val="0"/>
          <w:bCs w:val="0"/>
          <w:color w:val="auto"/>
          <w:kern w:val="2"/>
          <w:sz w:val="32"/>
          <w:szCs w:val="32"/>
          <w:lang w:bidi="ar"/>
        </w:rPr>
        <w:t>科研创新和社会服务成果既是学校科研水平、能力和成效的综合显现，也是办学力、</w:t>
      </w:r>
      <w:r>
        <w:rPr>
          <w:rFonts w:hint="eastAsia" w:ascii="Times New Roman" w:hAnsi="Times New Roman" w:eastAsia="仿宋_GB2312" w:cs="Times New Roman"/>
          <w:b w:val="0"/>
          <w:bCs w:val="0"/>
          <w:color w:val="auto"/>
          <w:kern w:val="2"/>
          <w:sz w:val="32"/>
          <w:szCs w:val="32"/>
          <w:lang w:bidi="ar"/>
        </w:rPr>
        <w:t>竞争力、可持续发展力的现实反映</w:t>
      </w:r>
      <w:r>
        <w:rPr>
          <w:rFonts w:hint="eastAsia" w:ascii="Times New Roman" w:hAnsi="Times New Roman" w:eastAsia="仿宋_GB2312" w:cs="Times New Roman"/>
          <w:color w:val="auto"/>
          <w:sz w:val="32"/>
          <w:szCs w:val="32"/>
          <w:lang w:bidi="ar"/>
        </w:rPr>
        <w:t>。习近平总书记在2020年9月科学家座谈会上提出“四个面向”，即坚持面向世界科技前沿、面向经济主战场、面向国家重大需求、面向人民生命健康，不断向科学技术广度和深度进军。每个学院、每位教师都应思考，瞄准“四个面向”，能为卓越大学建设多出成果、快出成果、出大成果作出什么贡献？</w:t>
      </w:r>
      <w:r>
        <w:rPr>
          <w:rFonts w:hint="eastAsia" w:ascii="Times New Roman" w:hAnsi="Times New Roman" w:eastAsia="仿宋_GB2312" w:cs="Times New Roman"/>
          <w:b w:val="0"/>
          <w:bCs w:val="0"/>
          <w:color w:val="auto"/>
          <w:sz w:val="32"/>
          <w:szCs w:val="32"/>
        </w:rPr>
        <w:t>在科学研究上，</w:t>
      </w:r>
      <w:r>
        <w:rPr>
          <w:rFonts w:hint="eastAsia" w:ascii="Times New Roman" w:hAnsi="Times New Roman" w:eastAsia="仿宋_GB2312" w:cs="Times New Roman"/>
          <w:color w:val="auto"/>
          <w:sz w:val="32"/>
          <w:szCs w:val="32"/>
        </w:rPr>
        <w:t>我们要重立项更重产出，立项要追求重大项目，产出要追求重大成果产出，真正把实质性成果、有影响力的东西拿出来。强化科研合作，加强高水平科研团队特别是交叉科研团队的建设。</w:t>
      </w:r>
      <w:r>
        <w:rPr>
          <w:rFonts w:hint="eastAsia" w:ascii="Times New Roman" w:hAnsi="Times New Roman" w:eastAsia="仿宋_GB2312" w:cs="Times New Roman"/>
          <w:color w:val="auto"/>
          <w:kern w:val="0"/>
          <w:sz w:val="32"/>
          <w:szCs w:val="32"/>
          <w:lang w:bidi="ar"/>
        </w:rPr>
        <w:t>深化科研评价改革，高标准制定科研评价改革办法，制定对标志性成果的培育机制，构建分层分类的科研评价体系，既兼顾群体，又追求卓越，推动科研评价的改革举措落地落实。</w:t>
      </w:r>
      <w:r>
        <w:rPr>
          <w:rFonts w:hint="eastAsia" w:ascii="Times New Roman" w:hAnsi="Times New Roman" w:eastAsia="仿宋_GB2312" w:cs="Times New Roman"/>
          <w:color w:val="auto"/>
          <w:sz w:val="32"/>
          <w:szCs w:val="32"/>
        </w:rPr>
        <w:t>强化科研过程管理，做好有组织的科研，加快形成充满活力的科研服务保障体系。</w:t>
      </w:r>
      <w:r>
        <w:rPr>
          <w:rFonts w:hint="eastAsia" w:ascii="Times New Roman" w:hAnsi="Times New Roman" w:eastAsia="仿宋_GB2312" w:cs="Times New Roman"/>
          <w:b w:val="0"/>
          <w:bCs w:val="0"/>
          <w:color w:val="auto"/>
          <w:sz w:val="32"/>
          <w:szCs w:val="32"/>
        </w:rPr>
        <w:t>在社会服务上，</w:t>
      </w:r>
      <w:r>
        <w:rPr>
          <w:rFonts w:hint="eastAsia" w:ascii="Times New Roman" w:hAnsi="Times New Roman" w:eastAsia="仿宋_GB2312" w:cs="Times New Roman"/>
          <w:color w:val="auto"/>
          <w:sz w:val="32"/>
          <w:szCs w:val="32"/>
        </w:rPr>
        <w:t>我们要把开展高水平的社会服务作为追求。把推动卓越大学建设与国家、省市创新发展深度融合，持续提升服务国家和浙江经济发展能力和水平。统筹推进智库建设，探索智库建设与学科发展融合共生的新机制，提升智库服务能力，培育高端智库成果。强化科研成果转化，设立技术创新基金项目，重点支持原创性科技成果向应用转化，助力解决产业关键技术问题和共性技术问题；建立科研成果对内转化机制，激发科教融合内生动力，构建教研相长与科教共融的双创共同体。加强地方合作，深入与国家部委、省内外各厅局和地方政府、大型企事业单位的战略合作，推动“政产学研用”深度融合。进一步健全教师参与社会服务的激励保障机制，让科研工作者安心且乐于从事社会服务。</w:t>
      </w:r>
    </w:p>
    <w:p>
      <w:pPr>
        <w:spacing w:line="58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4.</w:t>
      </w:r>
      <w:r>
        <w:rPr>
          <w:rFonts w:hint="eastAsia" w:ascii="Times New Roman" w:hAnsi="Times New Roman" w:eastAsia="仿宋_GB2312" w:cs="Times New Roman"/>
          <w:b/>
          <w:color w:val="auto"/>
          <w:sz w:val="32"/>
          <w:szCs w:val="32"/>
        </w:rPr>
        <w:t>提升教师待遇水平和改善办公条件</w:t>
      </w:r>
      <w:r>
        <w:rPr>
          <w:rFonts w:hint="eastAsia" w:ascii="Times New Roman" w:hAnsi="Times New Roman" w:eastAsia="仿宋_GB2312" w:cs="Times New Roman"/>
          <w:b/>
          <w:bCs/>
          <w:color w:val="auto"/>
          <w:kern w:val="0"/>
          <w:sz w:val="32"/>
          <w:szCs w:val="32"/>
          <w:lang w:bidi="ar"/>
        </w:rPr>
        <w:t>。</w:t>
      </w:r>
      <w:r>
        <w:rPr>
          <w:rFonts w:hint="eastAsia" w:ascii="Times New Roman" w:hAnsi="Times New Roman" w:eastAsia="仿宋_GB2312" w:cs="Times New Roman"/>
          <w:color w:val="auto"/>
          <w:sz w:val="32"/>
          <w:szCs w:val="32"/>
        </w:rPr>
        <w:t>让教师有一份有竞争力的薪资待遇，有比较优越的办公条件，是建设“商大命运共同体”的重要基础，也是学校长期关注、持续开展的工作。当前，共同富裕是国家的转型方向，学校总的逻辑是做大增量，多做加法，把更多的预算落实到改善办公条件和教师待遇上。由于办学经费等方面的限制，这项工作也许不能一次性达到预期，但我们有这样的信念：迈小步，不停步，持续提升教师待遇水平和改善办公条件，不断提高教师的幸福感、获得感、荣誉感、安全感。</w:t>
      </w:r>
    </w:p>
    <w:p>
      <w:pPr>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实施聘岗制度改革。</w:t>
      </w:r>
      <w:r>
        <w:rPr>
          <w:rFonts w:hint="eastAsia" w:ascii="Times New Roman" w:hAnsi="Times New Roman" w:eastAsia="仿宋_GB2312" w:cs="Times New Roman"/>
          <w:color w:val="auto"/>
          <w:sz w:val="32"/>
          <w:szCs w:val="32"/>
        </w:rPr>
        <w:t>这是今年的重点工作。聘岗制度改革是落实党中央、国务院深化新时代教育评价改革的迫切需要，是贯彻落实学校第三次党代会精神，提升教师待遇水平的重要举措，也是建设卓越大学、打造卓越教师队伍的重要保障。此次聘岗制度改革有五个关键词：</w:t>
      </w:r>
      <w:r>
        <w:rPr>
          <w:rFonts w:hint="eastAsia" w:ascii="Times New Roman" w:hAnsi="Times New Roman" w:eastAsia="仿宋_GB2312" w:cs="Times New Roman"/>
          <w:b/>
          <w:bCs/>
          <w:color w:val="auto"/>
          <w:sz w:val="32"/>
          <w:szCs w:val="32"/>
        </w:rPr>
        <w:t>一是普惠性。</w:t>
      </w:r>
      <w:r>
        <w:rPr>
          <w:rFonts w:hint="eastAsia" w:ascii="Times New Roman" w:hAnsi="Times New Roman" w:eastAsia="仿宋_GB2312" w:cs="Times New Roman"/>
          <w:color w:val="auto"/>
          <w:sz w:val="32"/>
          <w:szCs w:val="32"/>
        </w:rPr>
        <w:t>学校将增加经费总量投入，让大部分教师的薪资待遇在现有基础上有一个提升。</w:t>
      </w:r>
      <w:r>
        <w:rPr>
          <w:rFonts w:hint="eastAsia" w:ascii="Times New Roman" w:hAnsi="Times New Roman" w:eastAsia="仿宋_GB2312" w:cs="Times New Roman"/>
          <w:b/>
          <w:bCs/>
          <w:color w:val="auto"/>
          <w:sz w:val="32"/>
          <w:szCs w:val="32"/>
        </w:rPr>
        <w:t>二是功勋制。</w:t>
      </w:r>
      <w:r>
        <w:rPr>
          <w:rFonts w:hint="eastAsia" w:ascii="Times New Roman" w:hAnsi="Times New Roman" w:eastAsia="仿宋_GB2312" w:cs="Times New Roman"/>
          <w:color w:val="auto"/>
          <w:sz w:val="32"/>
          <w:szCs w:val="32"/>
        </w:rPr>
        <w:t>重视对过去一个聘期业绩的运用，根据上一聘期工作任务完成情况确定聘期考核结果，应用于绩效岗位竞聘。同理，当前聘期的业绩影响下一聘期的岗位竞聘。</w:t>
      </w:r>
      <w:r>
        <w:rPr>
          <w:rFonts w:hint="eastAsia" w:ascii="Times New Roman" w:hAnsi="Times New Roman" w:eastAsia="仿宋_GB2312" w:cs="Times New Roman"/>
          <w:b/>
          <w:bCs/>
          <w:color w:val="auto"/>
          <w:sz w:val="32"/>
          <w:szCs w:val="32"/>
        </w:rPr>
        <w:t>三是重贡献。</w:t>
      </w:r>
      <w:r>
        <w:rPr>
          <w:rFonts w:hint="eastAsia" w:ascii="Times New Roman" w:hAnsi="Times New Roman" w:eastAsia="仿宋_GB2312" w:cs="Times New Roman"/>
          <w:color w:val="auto"/>
          <w:sz w:val="32"/>
          <w:szCs w:val="32"/>
        </w:rPr>
        <w:t>突出业绩贡献，强化绩效分配与贡献度之间的匹配关系，让真正想干事、能干事、干成事的人有作为多收获。</w:t>
      </w:r>
      <w:r>
        <w:rPr>
          <w:rFonts w:hint="eastAsia" w:ascii="Times New Roman" w:hAnsi="Times New Roman" w:eastAsia="仿宋_GB2312" w:cs="Times New Roman"/>
          <w:b/>
          <w:bCs/>
          <w:color w:val="auto"/>
          <w:sz w:val="32"/>
          <w:szCs w:val="32"/>
        </w:rPr>
        <w:t>四是有保护。</w:t>
      </w:r>
      <w:r>
        <w:rPr>
          <w:rFonts w:hint="eastAsia" w:ascii="Times New Roman" w:hAnsi="Times New Roman" w:eastAsia="仿宋_GB2312" w:cs="Times New Roman"/>
          <w:color w:val="auto"/>
          <w:sz w:val="32"/>
          <w:szCs w:val="32"/>
        </w:rPr>
        <w:t>对于新到校教师、距离退休不满一个聘期教师等一些特殊情况设置了保护性原则，让“青椒们”不焦虑，让年长者无顾虑。</w:t>
      </w:r>
      <w:r>
        <w:rPr>
          <w:rFonts w:hint="eastAsia" w:ascii="Times New Roman" w:hAnsi="Times New Roman" w:eastAsia="仿宋_GB2312" w:cs="Times New Roman"/>
          <w:b/>
          <w:bCs/>
          <w:color w:val="auto"/>
          <w:sz w:val="32"/>
          <w:szCs w:val="32"/>
        </w:rPr>
        <w:t>五是可预期。</w:t>
      </w:r>
      <w:r>
        <w:rPr>
          <w:rFonts w:hint="eastAsia" w:ascii="Times New Roman" w:hAnsi="Times New Roman" w:eastAsia="仿宋_GB2312" w:cs="Times New Roman"/>
          <w:color w:val="auto"/>
          <w:sz w:val="32"/>
          <w:szCs w:val="32"/>
        </w:rPr>
        <w:t>通过聘岗制度改革，引导教职员工塑造中长期的学术规划、科研规划、收入规划，让教师的发展路径可预见，幸福生活可期待，美好未来可实现。此外，岗位聘任制度改革把教职员工的收入体现在薪酬体系中，扩大岗位津贴在薪酬体系的占比，真正做大“正财”。我们期待让聘岗制度改革成为教职员工的指挥棒，强化以岗位绩效评价为重点的人才评价机制，扭转人才评价不科学的现象；探索绩效分配改革，在增加经费总量投入的基础上，突出业绩贡献，让教师有一份体面的、有竞争力的薪资水平。关于聘岗制度改革，陈衍泰副校长还会做专门说明。</w:t>
      </w:r>
    </w:p>
    <w:p>
      <w:pPr>
        <w:widowControl/>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提升办公条件。</w:t>
      </w:r>
      <w:r>
        <w:rPr>
          <w:rFonts w:hint="eastAsia" w:ascii="Times New Roman" w:hAnsi="Times New Roman" w:eastAsia="仿宋_GB2312" w:cs="Times New Roman"/>
          <w:color w:val="auto"/>
          <w:sz w:val="32"/>
          <w:szCs w:val="32"/>
        </w:rPr>
        <w:t>今年学校正大力加强基础设施建设，重点做好科创大楼、英贤慈善大楼等筹备、建设工作，以期改善教师办公条件。</w:t>
      </w:r>
      <w:r>
        <w:rPr>
          <w:rFonts w:hint="eastAsia" w:ascii="Times New Roman" w:hAnsi="Times New Roman" w:eastAsia="仿宋_GB2312" w:cs="Times New Roman"/>
          <w:bCs/>
          <w:color w:val="auto"/>
          <w:sz w:val="32"/>
          <w:szCs w:val="32"/>
        </w:rPr>
        <w:t>我们积极争取政策和资金支持，争取学校预算早日进入20亿时代，为学校发展提供更坚实的财务保障。学校将继续加强与政府、企业、社会的合作，争取教育资源</w:t>
      </w:r>
      <w:r>
        <w:rPr>
          <w:rFonts w:hint="eastAsia" w:ascii="Times New Roman" w:hAnsi="Times New Roman" w:eastAsia="仿宋_GB2312" w:cs="Times New Roman"/>
          <w:color w:val="auto"/>
          <w:sz w:val="32"/>
          <w:szCs w:val="32"/>
        </w:rPr>
        <w:t>；完善教工路校区使用机制，提高教工路校区育人和社会服务的效能；调动校内外资源，推进慈善学院建设工作，形成办学品牌，推动我国公益慈善体制改革等，通过</w:t>
      </w:r>
      <w:r>
        <w:rPr>
          <w:rFonts w:hint="eastAsia" w:ascii="Times New Roman" w:hAnsi="Times New Roman" w:eastAsia="仿宋_GB2312" w:cs="Times New Roman"/>
          <w:color w:val="auto"/>
          <w:kern w:val="0"/>
          <w:sz w:val="32"/>
          <w:szCs w:val="32"/>
          <w:lang w:bidi="ar"/>
        </w:rPr>
        <w:t>打造高水平综合服务保障体系，不断提升学校基础实施水平，改善教师办公条件，提升教师幸福感、荣誉感。</w:t>
      </w:r>
    </w:p>
    <w:p>
      <w:pPr>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（三）谱写以改革为驱动的大学治理新篇</w:t>
      </w:r>
      <w:r>
        <w:rPr>
          <w:rFonts w:ascii="Times New Roman" w:hAnsi="Times New Roman" w:eastAsia="仿宋_GB2312" w:cs="Times New Roman"/>
          <w:color w:val="auto"/>
          <w:sz w:val="32"/>
          <w:szCs w:val="32"/>
        </w:rPr>
        <w:t xml:space="preserve"> </w:t>
      </w:r>
    </w:p>
    <w:p>
      <w:pPr>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著名管理学家彼得·德鲁克说：“我们无法左右变革，只能走在变革的前面。”著名教育家章开沅认为，教育改革千头万绪，</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当务之急是两个回归：一是回归大学主体，一是回归教育本性</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。在数字时代，我们深化学校综合改革，就是探索建立横向协同、纵向智治的管理体系，让教育回归以学生为中心，以教师为中心，实现大学治理的现代化，推动卓越大学建设。</w:t>
      </w:r>
    </w:p>
    <w:p>
      <w:pPr>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1.深化教育评价改革。</w:t>
      </w:r>
      <w:r>
        <w:rPr>
          <w:rFonts w:hint="eastAsia" w:ascii="Times New Roman" w:hAnsi="Times New Roman" w:eastAsia="仿宋_GB2312" w:cs="Times New Roman"/>
          <w:color w:val="auto"/>
          <w:sz w:val="32"/>
          <w:szCs w:val="32"/>
        </w:rPr>
        <w:t>教育评价事关教育发展方向，是树立正确办学导向的指挥棒，也是提高现代教育治理能力的关键点。教育评价改革涵盖的领域非常广泛，既包括改革对高校的评价，也包括改革对高校内部学科、学院、教师、学生等的评价，究其根本是教育价值观的转变。学校第三次党代会提出建设卓越大学的目标。那么如何实现这一目标？我们可以通过教育评价改革，设立要素和指标，制定出教职员工在教育教学、科学研究、社会服务等各项工作需要完成的指标体系，明确应该达到的基准和可以实现的目标，来刻画卓越大学应有的样子，刻画出卓越大学的教师、学生应有的样子，传递出我们在立德树人、人才师资、学科建设、科学研究、社会服务、文化传承等方面的价值观，让每位师生习得对卓越大学、学业、学科、教师身份、学生身份的认同，以充分激发学校事业发展的生机活力，这是我们教育评价改革追求的方向。我们要以卓越大学建设为引领，以高质量发展为取向，以教师活力全面迸发为目标，深化教育评价改革，加快制定学校《教育评价改革实施方案》，制定完善教育教学、科学研究、智库建设等的奖励办法，加速破除“五唯”顽瘴痼疾，从根本上破除“青椒”焦虑、中年以上教师“躺平”现象，扭转重科研轻教学、重教书轻育人、重立项轻产出、重知识教育轻创新教育等现象，用科学的教育评价引领卓越大学建设。</w:t>
      </w:r>
    </w:p>
    <w:p>
      <w:pPr>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2.深化校院两级管理改革。</w:t>
      </w:r>
      <w:r>
        <w:rPr>
          <w:rFonts w:hint="eastAsia" w:ascii="Times New Roman" w:hAnsi="Times New Roman" w:eastAsia="仿宋_GB2312" w:cs="Times New Roman"/>
          <w:color w:val="auto"/>
          <w:sz w:val="32"/>
          <w:szCs w:val="32"/>
        </w:rPr>
        <w:t>在高等教育综合改革持续深化的背景下，高校优化内部治理结构、推进管理重心下移，实现二级学院成为重要“办学主体”是一种发展趋势。假如把学校比做列车，通过“校院两级管理改革”，实现由“校办院”到“院办校”的转变，是让每个学院都成为动力源，将学校发展的牵引力由“车头带”模式变为动车组“节节发力”的同步同向模式，形成学校和学院协同发展的良性模式。我们要做精机关、做实学院，进一步激发学院内生动能。构建权责明确的校院治理制度体系，完善导向鲜明的考核评价体系。对职能部门来说，“法无授权不可为”，“要把权力关进制度的笼子里”，要做到有求必应、无需不扰，说到做到、服务周到。对学院来说，“法无禁止即可为”，主动出击、履职尽责，实事求是，雷厉风行。继续推进“一院一策”学院自主权改革工作，在经济学院“一院一策”改革基础上，新增完成2-3个学院的改革工作。继续推动管理部门职能转变，强化部门联动，加强政策保障，激励各部门配合服务好学院的“一院一策”改革。学院层面应该有政策再造的能力，依据自身实际情况制定适合学院特点的政策，促进学院各项事业的发展。特别强调在人事、财权方面，学校制定的第五轮聘岗改革方案也充分体现扩大学院自主权的决心；学校鼓励学院设立二级财务，利用自身资源优势积极创收，切实增加教职员工的收入，改善工作生活条件，用心勾画商大人美好生活的样子。</w:t>
      </w:r>
    </w:p>
    <w:p>
      <w:pPr>
        <w:widowControl w:val="0"/>
        <w:spacing w:line="580" w:lineRule="exact"/>
        <w:ind w:firstLine="643" w:firstLineChars="200"/>
        <w:rPr>
          <w:rFonts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b/>
          <w:bCs/>
          <w:color w:val="auto"/>
          <w:sz w:val="32"/>
          <w:szCs w:val="32"/>
        </w:rPr>
        <w:t>3.加快数字化改革步伐。</w:t>
      </w:r>
      <w:r>
        <w:rPr>
          <w:rFonts w:hint="eastAsia" w:ascii="Times New Roman" w:hAnsi="Times New Roman" w:eastAsia="仿宋_GB2312" w:cs="Times New Roman"/>
          <w:color w:val="auto"/>
          <w:sz w:val="32"/>
          <w:szCs w:val="32"/>
        </w:rPr>
        <w:t>随着</w:t>
      </w:r>
      <w:r>
        <w:rPr>
          <w:rFonts w:hint="eastAsia" w:ascii="Times New Roman" w:hAnsi="Times New Roman" w:eastAsia="仿宋_GB2312" w:cs="Times New Roman"/>
          <w:color w:val="auto"/>
          <w:kern w:val="0"/>
          <w:sz w:val="32"/>
          <w:szCs w:val="32"/>
        </w:rPr>
        <w:t>数字革命时代的澎湃到来，数字技术正在成为世界百年未有之大变局加速演进的关键变量，成为当前经济社会运行的底层规则。</w:t>
      </w:r>
      <w:r>
        <w:rPr>
          <w:rFonts w:hint="eastAsia" w:ascii="Times New Roman" w:hAnsi="Times New Roman" w:eastAsia="仿宋_GB2312" w:cs="Times New Roman"/>
          <w:color w:val="auto"/>
          <w:sz w:val="32"/>
          <w:szCs w:val="32"/>
        </w:rPr>
        <w:t>数字时代同样正在塑造着高等教育的新形态。</w:t>
      </w:r>
      <w:r>
        <w:rPr>
          <w:rFonts w:hint="eastAsia" w:ascii="Times New Roman" w:hAnsi="Times New Roman" w:eastAsia="仿宋_GB2312" w:cs="Times New Roman"/>
          <w:color w:val="auto"/>
          <w:kern w:val="0"/>
          <w:sz w:val="32"/>
          <w:szCs w:val="32"/>
        </w:rPr>
        <w:t>以习近平同志为核心的党中央高度重视数字化发展，明确提出数字中国战略和教育现代化2035计划，强调要利用信息技术更新技术理念、教育理念，变革教育范式；今年，教育部全面实施教育数字化战略行动，将影响甚至决定高等教育发展。</w:t>
      </w:r>
      <w:r>
        <w:rPr>
          <w:rFonts w:hint="eastAsia" w:ascii="Times New Roman" w:hAnsi="Times New Roman" w:eastAsia="仿宋_GB2312" w:cs="Times New Roman"/>
          <w:color w:val="auto"/>
          <w:sz w:val="32"/>
          <w:szCs w:val="32"/>
        </w:rPr>
        <w:t>正如黑格尔形容的法国大革命一般，数字时代的到来就是一场壮丽的日出，应该光芒四射，照到高等教育的每个角落，统领全校工作，让学科、教学、科研、社会服务、校院治理等工作都在这个数字时代里得以重塑。我们要在“数字高校”1.0版本的基础上，</w:t>
      </w:r>
      <w:r>
        <w:rPr>
          <w:rFonts w:hint="eastAsia" w:ascii="Times New Roman" w:hAnsi="Times New Roman" w:eastAsia="仿宋_GB2312" w:cs="Times New Roman"/>
          <w:color w:val="auto"/>
          <w:kern w:val="0"/>
          <w:sz w:val="32"/>
          <w:szCs w:val="32"/>
          <w:lang w:bidi="ar"/>
        </w:rPr>
        <w:t>推动“数字高校”</w:t>
      </w:r>
      <w:r>
        <w:rPr>
          <w:rFonts w:ascii="Times New Roman" w:hAnsi="Times New Roman" w:eastAsia="仿宋_GB2312" w:cs="Times New Roman"/>
          <w:color w:val="auto"/>
          <w:kern w:val="0"/>
          <w:sz w:val="32"/>
          <w:szCs w:val="32"/>
          <w:lang w:bidi="ar"/>
        </w:rPr>
        <w:t>1.0PLUS</w:t>
      </w:r>
      <w:r>
        <w:rPr>
          <w:rFonts w:hint="eastAsia" w:ascii="Times New Roman" w:hAnsi="Times New Roman" w:eastAsia="仿宋_GB2312" w:cs="Times New Roman"/>
          <w:color w:val="auto"/>
          <w:kern w:val="0"/>
          <w:sz w:val="32"/>
          <w:szCs w:val="32"/>
          <w:lang w:bidi="ar"/>
        </w:rPr>
        <w:t>版建设，进一步完善学校一体化智能化数据归集平台，早日进入“数字高校”2</w:t>
      </w:r>
      <w:r>
        <w:rPr>
          <w:rFonts w:ascii="Times New Roman" w:hAnsi="Times New Roman" w:eastAsia="仿宋_GB2312" w:cs="Times New Roman"/>
          <w:color w:val="auto"/>
          <w:kern w:val="0"/>
          <w:sz w:val="32"/>
          <w:szCs w:val="32"/>
          <w:lang w:bidi="ar"/>
        </w:rPr>
        <w:t>.0</w:t>
      </w:r>
      <w:r>
        <w:rPr>
          <w:rFonts w:hint="eastAsia" w:ascii="Times New Roman" w:hAnsi="Times New Roman" w:eastAsia="仿宋_GB2312" w:cs="Times New Roman"/>
          <w:color w:val="auto"/>
          <w:kern w:val="0"/>
          <w:sz w:val="32"/>
          <w:szCs w:val="32"/>
          <w:lang w:bidi="ar"/>
        </w:rPr>
        <w:t>。从师生需求侧出发，聚焦师生所想所需所急所盼，在智慧思政、学生工作、人事人才工作等领域开发出更多管用、有效的应用场景，让数字化改革跑出加速度、跑出好成绩，持续为学校各项事业赋能。</w:t>
      </w:r>
    </w:p>
    <w:p>
      <w:pPr>
        <w:pStyle w:val="2"/>
        <w:spacing w:after="0" w:line="580" w:lineRule="exact"/>
        <w:ind w:left="0" w:leftChars="0"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bidi="ar"/>
        </w:rPr>
        <w:t>改革是一项长期的事业，只有进行时没有完成时，在建设卓越大学的进程中需要改革的地方还有很多。我们期待通过改革，让所有的要素都活力迸发，让所有人员都聚焦高质量发展，都能够以实现卓越大学为己任，都能够为实现商大命运共同体而不懈努力。</w:t>
      </w:r>
    </w:p>
    <w:p>
      <w:pPr>
        <w:spacing w:line="58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各位代表、同志们，</w:t>
      </w:r>
      <w:r>
        <w:rPr>
          <w:rFonts w:hint="eastAsia" w:ascii="Times New Roman" w:hAnsi="Times New Roman" w:eastAsia="仿宋_GB2312" w:cs="Times New Roman"/>
          <w:bCs/>
          <w:color w:val="auto"/>
          <w:sz w:val="32"/>
          <w:szCs w:val="32"/>
        </w:rPr>
        <w:t>实干永不褪色，拼搏赢得未来。面对全校师生对美好生活的期待，我们惟有拼搏不已；面对建设卓越大学这一光荣艰巨的任务，我们惟有勇往直前。让我们更加紧密地团结在以习近平同志为核心的党中央周围，以习近平同志2004年视察浙江工商大学时的重要指示和</w:t>
      </w:r>
      <w:r>
        <w:rPr>
          <w:rFonts w:ascii="Times New Roman" w:hAnsi="Times New Roman" w:eastAsia="仿宋_GB2312" w:cs="Times New Roman"/>
          <w:bCs/>
          <w:color w:val="auto"/>
          <w:sz w:val="32"/>
          <w:szCs w:val="32"/>
        </w:rPr>
        <w:t>202</w:t>
      </w:r>
      <w:r>
        <w:rPr>
          <w:rFonts w:hint="eastAsia" w:ascii="Times New Roman" w:hAnsi="Times New Roman" w:eastAsia="仿宋_GB2312" w:cs="Times New Roman"/>
          <w:bCs/>
          <w:color w:val="auto"/>
          <w:sz w:val="32"/>
          <w:szCs w:val="32"/>
        </w:rPr>
        <w:t>1年校庆时对学校的祝贺关爱为强大动力，</w:t>
      </w:r>
      <w:r>
        <w:rPr>
          <w:rFonts w:hint="eastAsia" w:ascii="Times New Roman" w:hAnsi="Times New Roman" w:eastAsia="仿宋_GB2312" w:cs="Times New Roman"/>
          <w:color w:val="auto"/>
          <w:sz w:val="32"/>
          <w:szCs w:val="32"/>
        </w:rPr>
        <w:t>胸怀“国之大者”，实干笃行，开拓创新，合力再创学校事业高质量发展的“黄金期”，推动各方面工作取得新突破新成效，以学校事业改革发展的高分报表迎接党的二十大胜利召开！</w:t>
      </w:r>
    </w:p>
    <w:sectPr>
      <w:headerReference r:id="rId3" w:type="default"/>
      <w:footerReference r:id="rId5" w:type="default"/>
      <w:headerReference r:id="rId4" w:type="even"/>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楷体_GB2312" w:eastAsia="楷体_GB2312"/>
        <w:sz w:val="21"/>
        <w:szCs w:val="21"/>
      </w:rPr>
      <w:t>校第十一届教职工代表大会暨第十三届工会会员代表大会第</w:t>
    </w:r>
    <w:r>
      <w:rPr>
        <w:rFonts w:hint="eastAsia" w:ascii="楷体_GB2312" w:eastAsia="楷体_GB2312"/>
        <w:sz w:val="21"/>
        <w:szCs w:val="21"/>
        <w:lang w:val="en-US" w:eastAsia="zh-CN"/>
      </w:rPr>
      <w:t>三</w:t>
    </w:r>
    <w:r>
      <w:rPr>
        <w:rFonts w:hint="eastAsia" w:ascii="楷体_GB2312" w:eastAsia="楷体_GB2312"/>
        <w:sz w:val="21"/>
        <w:szCs w:val="21"/>
      </w:rPr>
      <w:t>次会议材料之</w:t>
    </w:r>
    <w:r>
      <w:rPr>
        <w:rFonts w:hint="eastAsia" w:ascii="楷体_GB2312" w:eastAsia="楷体_GB2312"/>
        <w:sz w:val="21"/>
        <w:szCs w:val="21"/>
        <w:lang w:val="en-US" w:eastAsia="zh-CN"/>
      </w:rPr>
      <w:t>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hint="default" w:eastAsiaTheme="minorEastAsia"/>
        <w:lang w:val="en-US" w:eastAsia="zh-CN"/>
      </w:rPr>
    </w:pPr>
    <w:r>
      <w:rPr>
        <w:rFonts w:hint="eastAsia" w:ascii="楷体_GB2312" w:eastAsia="楷体_GB2312"/>
        <w:sz w:val="21"/>
        <w:szCs w:val="21"/>
        <w:lang w:val="en-US" w:eastAsia="zh-CN"/>
      </w:rPr>
      <w:t>学校年度工作报告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1DB48"/>
    <w:multiLevelType w:val="singleLevel"/>
    <w:tmpl w:val="B011DB48"/>
    <w:lvl w:ilvl="0" w:tentative="0">
      <w:start w:val="1"/>
      <w:numFmt w:val="chineseCounting"/>
      <w:suff w:val="nothing"/>
      <w:lvlText w:val="（%1）"/>
      <w:lvlJc w:val="left"/>
      <w:rPr>
        <w:rFonts w:hint="eastAsia"/>
      </w:rPr>
    </w:lvl>
  </w:abstractNum>
  <w:abstractNum w:abstractNumId="1">
    <w:nsid w:val="F043E78E"/>
    <w:multiLevelType w:val="singleLevel"/>
    <w:tmpl w:val="F043E78E"/>
    <w:lvl w:ilvl="0" w:tentative="0">
      <w:start w:val="2"/>
      <w:numFmt w:val="chineseCounting"/>
      <w:suff w:val="nothing"/>
      <w:lvlText w:val="（%1）"/>
      <w:lvlJc w:val="left"/>
      <w:rPr>
        <w:rFonts w:hint="eastAsia"/>
      </w:rPr>
    </w:lvl>
  </w:abstractNum>
  <w:abstractNum w:abstractNumId="2">
    <w:nsid w:val="6F0B3E19"/>
    <w:multiLevelType w:val="singleLevel"/>
    <w:tmpl w:val="6F0B3E19"/>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MjcwNjVhOGQxNTYxYzhmYzlmOTQ4ODVhZjY1MjIifQ=="/>
  </w:docVars>
  <w:rsids>
    <w:rsidRoot w:val="002B11D7"/>
    <w:rsid w:val="000D3FEA"/>
    <w:rsid w:val="002162F5"/>
    <w:rsid w:val="002B11D7"/>
    <w:rsid w:val="00395A76"/>
    <w:rsid w:val="003F0BD7"/>
    <w:rsid w:val="003F6571"/>
    <w:rsid w:val="005B29B3"/>
    <w:rsid w:val="006A726F"/>
    <w:rsid w:val="007349A3"/>
    <w:rsid w:val="00744808"/>
    <w:rsid w:val="00756A02"/>
    <w:rsid w:val="007933D4"/>
    <w:rsid w:val="007D2EDD"/>
    <w:rsid w:val="008948CB"/>
    <w:rsid w:val="008B1170"/>
    <w:rsid w:val="009721B9"/>
    <w:rsid w:val="009A396B"/>
    <w:rsid w:val="009A4BC2"/>
    <w:rsid w:val="00A04B08"/>
    <w:rsid w:val="00AE49BB"/>
    <w:rsid w:val="00D64B7B"/>
    <w:rsid w:val="00D8356A"/>
    <w:rsid w:val="00EB420B"/>
    <w:rsid w:val="00F10A39"/>
    <w:rsid w:val="00F86810"/>
    <w:rsid w:val="01395BF5"/>
    <w:rsid w:val="01B029F8"/>
    <w:rsid w:val="01B6221C"/>
    <w:rsid w:val="01F65D7B"/>
    <w:rsid w:val="02142DEC"/>
    <w:rsid w:val="02767590"/>
    <w:rsid w:val="032F44A6"/>
    <w:rsid w:val="04B35E20"/>
    <w:rsid w:val="058542D8"/>
    <w:rsid w:val="060F7FA7"/>
    <w:rsid w:val="06182F75"/>
    <w:rsid w:val="06505238"/>
    <w:rsid w:val="067A70E3"/>
    <w:rsid w:val="0688128A"/>
    <w:rsid w:val="06931CF0"/>
    <w:rsid w:val="06A81966"/>
    <w:rsid w:val="06F51E85"/>
    <w:rsid w:val="0713008B"/>
    <w:rsid w:val="07A330DD"/>
    <w:rsid w:val="080353EB"/>
    <w:rsid w:val="082371A9"/>
    <w:rsid w:val="08865260"/>
    <w:rsid w:val="08A10B9B"/>
    <w:rsid w:val="08EC75A3"/>
    <w:rsid w:val="098F4246"/>
    <w:rsid w:val="0A6B10DC"/>
    <w:rsid w:val="0A855820"/>
    <w:rsid w:val="0ABC216B"/>
    <w:rsid w:val="0B015E43"/>
    <w:rsid w:val="0B3C5C14"/>
    <w:rsid w:val="0BB7550F"/>
    <w:rsid w:val="0C8A0EAF"/>
    <w:rsid w:val="0CEE4F60"/>
    <w:rsid w:val="0D1427D2"/>
    <w:rsid w:val="0D621ACA"/>
    <w:rsid w:val="0D75687D"/>
    <w:rsid w:val="0DFC545B"/>
    <w:rsid w:val="0E3E0BFE"/>
    <w:rsid w:val="0E822AD1"/>
    <w:rsid w:val="0F220EF1"/>
    <w:rsid w:val="0F231268"/>
    <w:rsid w:val="0F317386"/>
    <w:rsid w:val="100F671D"/>
    <w:rsid w:val="101C5CEC"/>
    <w:rsid w:val="106E2498"/>
    <w:rsid w:val="10766992"/>
    <w:rsid w:val="108A4FA0"/>
    <w:rsid w:val="117937AD"/>
    <w:rsid w:val="118C4973"/>
    <w:rsid w:val="11C049F1"/>
    <w:rsid w:val="11D34C34"/>
    <w:rsid w:val="121C66E3"/>
    <w:rsid w:val="124323E1"/>
    <w:rsid w:val="126D186A"/>
    <w:rsid w:val="128529B3"/>
    <w:rsid w:val="12F96B62"/>
    <w:rsid w:val="131F6A4C"/>
    <w:rsid w:val="136525A5"/>
    <w:rsid w:val="13D5561C"/>
    <w:rsid w:val="13DD421E"/>
    <w:rsid w:val="13F46E1E"/>
    <w:rsid w:val="141D5509"/>
    <w:rsid w:val="144E5BAF"/>
    <w:rsid w:val="144F34D3"/>
    <w:rsid w:val="14CD1B54"/>
    <w:rsid w:val="150D2643"/>
    <w:rsid w:val="150D44D8"/>
    <w:rsid w:val="155D0ED5"/>
    <w:rsid w:val="15742D82"/>
    <w:rsid w:val="15AF54A9"/>
    <w:rsid w:val="15EC4C77"/>
    <w:rsid w:val="16602F44"/>
    <w:rsid w:val="16872559"/>
    <w:rsid w:val="168D1E3A"/>
    <w:rsid w:val="168D438E"/>
    <w:rsid w:val="16B52630"/>
    <w:rsid w:val="16D7287D"/>
    <w:rsid w:val="16E80C72"/>
    <w:rsid w:val="171D0D4D"/>
    <w:rsid w:val="176F05D8"/>
    <w:rsid w:val="17AC1CA0"/>
    <w:rsid w:val="17B22C3C"/>
    <w:rsid w:val="17B648CC"/>
    <w:rsid w:val="17F708B4"/>
    <w:rsid w:val="189B69A1"/>
    <w:rsid w:val="19575D19"/>
    <w:rsid w:val="19CA3EFA"/>
    <w:rsid w:val="1A36030C"/>
    <w:rsid w:val="1A774C9C"/>
    <w:rsid w:val="1AB91979"/>
    <w:rsid w:val="1ADA6E0F"/>
    <w:rsid w:val="1B3039DF"/>
    <w:rsid w:val="1B3B4C05"/>
    <w:rsid w:val="1B8100C5"/>
    <w:rsid w:val="1BB50B80"/>
    <w:rsid w:val="1BD33808"/>
    <w:rsid w:val="1BE53BB2"/>
    <w:rsid w:val="1C6F704E"/>
    <w:rsid w:val="1D0060C9"/>
    <w:rsid w:val="1D166843"/>
    <w:rsid w:val="1D411B61"/>
    <w:rsid w:val="1D8D3444"/>
    <w:rsid w:val="1D9202B8"/>
    <w:rsid w:val="1D956C8F"/>
    <w:rsid w:val="1E1F2993"/>
    <w:rsid w:val="1E442EE8"/>
    <w:rsid w:val="1E581DD0"/>
    <w:rsid w:val="1E8E64F0"/>
    <w:rsid w:val="1E93350F"/>
    <w:rsid w:val="1F6D7381"/>
    <w:rsid w:val="206F2A21"/>
    <w:rsid w:val="20B86162"/>
    <w:rsid w:val="20D00533"/>
    <w:rsid w:val="22370983"/>
    <w:rsid w:val="22B45EAC"/>
    <w:rsid w:val="22C92647"/>
    <w:rsid w:val="22D12682"/>
    <w:rsid w:val="22D62D35"/>
    <w:rsid w:val="23060384"/>
    <w:rsid w:val="238C3482"/>
    <w:rsid w:val="24004D4F"/>
    <w:rsid w:val="240A1454"/>
    <w:rsid w:val="243F4898"/>
    <w:rsid w:val="24981420"/>
    <w:rsid w:val="24BC5170"/>
    <w:rsid w:val="24C6060B"/>
    <w:rsid w:val="253E6F3A"/>
    <w:rsid w:val="256639FA"/>
    <w:rsid w:val="259D4DEC"/>
    <w:rsid w:val="26745B19"/>
    <w:rsid w:val="26A64F23"/>
    <w:rsid w:val="27EF5BC2"/>
    <w:rsid w:val="28145B82"/>
    <w:rsid w:val="283B1099"/>
    <w:rsid w:val="287B12AD"/>
    <w:rsid w:val="29CA4207"/>
    <w:rsid w:val="29D82F35"/>
    <w:rsid w:val="29DE73B7"/>
    <w:rsid w:val="2A1F4171"/>
    <w:rsid w:val="2A6B5FA0"/>
    <w:rsid w:val="2B2C682F"/>
    <w:rsid w:val="2B4A6A01"/>
    <w:rsid w:val="2BED2CC4"/>
    <w:rsid w:val="2C361E86"/>
    <w:rsid w:val="2C514C9F"/>
    <w:rsid w:val="2C602C01"/>
    <w:rsid w:val="2D1C7497"/>
    <w:rsid w:val="2DA66A31"/>
    <w:rsid w:val="2DB7374A"/>
    <w:rsid w:val="2DE51610"/>
    <w:rsid w:val="2EA46F0F"/>
    <w:rsid w:val="2EDA5E2C"/>
    <w:rsid w:val="2FE90DE1"/>
    <w:rsid w:val="2FF20B75"/>
    <w:rsid w:val="308E5BF6"/>
    <w:rsid w:val="31094873"/>
    <w:rsid w:val="313C2E72"/>
    <w:rsid w:val="31467379"/>
    <w:rsid w:val="3180467F"/>
    <w:rsid w:val="31825F0D"/>
    <w:rsid w:val="31A67308"/>
    <w:rsid w:val="334246A8"/>
    <w:rsid w:val="336E20A7"/>
    <w:rsid w:val="343206CD"/>
    <w:rsid w:val="344D3165"/>
    <w:rsid w:val="344F1ED9"/>
    <w:rsid w:val="34510295"/>
    <w:rsid w:val="34A9652A"/>
    <w:rsid w:val="34D76ADF"/>
    <w:rsid w:val="35622B48"/>
    <w:rsid w:val="359446FC"/>
    <w:rsid w:val="359C2EFC"/>
    <w:rsid w:val="35DE6532"/>
    <w:rsid w:val="36D6068F"/>
    <w:rsid w:val="37077ED7"/>
    <w:rsid w:val="371F3DE4"/>
    <w:rsid w:val="37CB2170"/>
    <w:rsid w:val="38957B7A"/>
    <w:rsid w:val="38C56C0D"/>
    <w:rsid w:val="394D405C"/>
    <w:rsid w:val="394F0285"/>
    <w:rsid w:val="397C1E1E"/>
    <w:rsid w:val="39A86313"/>
    <w:rsid w:val="3AA615F1"/>
    <w:rsid w:val="3AFE1F63"/>
    <w:rsid w:val="3B39508E"/>
    <w:rsid w:val="3B456B91"/>
    <w:rsid w:val="3C2A6AC6"/>
    <w:rsid w:val="3C325ABF"/>
    <w:rsid w:val="3C3B6FA3"/>
    <w:rsid w:val="3C587148"/>
    <w:rsid w:val="3C8B637F"/>
    <w:rsid w:val="3CAC3B52"/>
    <w:rsid w:val="3CB07AFD"/>
    <w:rsid w:val="3CB82618"/>
    <w:rsid w:val="3D3B3C1C"/>
    <w:rsid w:val="3D541BA8"/>
    <w:rsid w:val="3D7C5518"/>
    <w:rsid w:val="3D9D1F07"/>
    <w:rsid w:val="3DE42B51"/>
    <w:rsid w:val="3DFE0BF8"/>
    <w:rsid w:val="3E65157F"/>
    <w:rsid w:val="3EF96557"/>
    <w:rsid w:val="3F196AF6"/>
    <w:rsid w:val="3F6A0C19"/>
    <w:rsid w:val="3F6C50BC"/>
    <w:rsid w:val="3FFB0755"/>
    <w:rsid w:val="40291830"/>
    <w:rsid w:val="40694492"/>
    <w:rsid w:val="406F5DC0"/>
    <w:rsid w:val="41195D48"/>
    <w:rsid w:val="41487C86"/>
    <w:rsid w:val="419B3141"/>
    <w:rsid w:val="42161D84"/>
    <w:rsid w:val="42844C60"/>
    <w:rsid w:val="42DD51C2"/>
    <w:rsid w:val="42F41450"/>
    <w:rsid w:val="43000F6E"/>
    <w:rsid w:val="43011494"/>
    <w:rsid w:val="43B22B32"/>
    <w:rsid w:val="43D23869"/>
    <w:rsid w:val="43F3552A"/>
    <w:rsid w:val="4451757B"/>
    <w:rsid w:val="459E60A6"/>
    <w:rsid w:val="46397984"/>
    <w:rsid w:val="467916A0"/>
    <w:rsid w:val="46A606A1"/>
    <w:rsid w:val="46B129DB"/>
    <w:rsid w:val="472F33C8"/>
    <w:rsid w:val="473C7EF9"/>
    <w:rsid w:val="47C21D1A"/>
    <w:rsid w:val="48135B10"/>
    <w:rsid w:val="48427933"/>
    <w:rsid w:val="4853631D"/>
    <w:rsid w:val="487D68E3"/>
    <w:rsid w:val="488B5F22"/>
    <w:rsid w:val="48992845"/>
    <w:rsid w:val="48A22746"/>
    <w:rsid w:val="48C4659A"/>
    <w:rsid w:val="490C6E6F"/>
    <w:rsid w:val="49D3061B"/>
    <w:rsid w:val="4A69564B"/>
    <w:rsid w:val="4B636AF4"/>
    <w:rsid w:val="4B730A7E"/>
    <w:rsid w:val="4BD74836"/>
    <w:rsid w:val="4BE90E3B"/>
    <w:rsid w:val="4C472F39"/>
    <w:rsid w:val="4C525534"/>
    <w:rsid w:val="4CEA1244"/>
    <w:rsid w:val="4CF20EB9"/>
    <w:rsid w:val="4D231477"/>
    <w:rsid w:val="4D4B1501"/>
    <w:rsid w:val="4D814A59"/>
    <w:rsid w:val="4DA43847"/>
    <w:rsid w:val="4E7F59C6"/>
    <w:rsid w:val="4E88160E"/>
    <w:rsid w:val="4E9F01D0"/>
    <w:rsid w:val="4EBA391F"/>
    <w:rsid w:val="4EFC137E"/>
    <w:rsid w:val="4F811208"/>
    <w:rsid w:val="4FF05D78"/>
    <w:rsid w:val="500B10FD"/>
    <w:rsid w:val="500E21C7"/>
    <w:rsid w:val="50B23543"/>
    <w:rsid w:val="50B41D58"/>
    <w:rsid w:val="520531AA"/>
    <w:rsid w:val="53127575"/>
    <w:rsid w:val="53B11E10"/>
    <w:rsid w:val="53CB04C6"/>
    <w:rsid w:val="53CB2A9A"/>
    <w:rsid w:val="54160248"/>
    <w:rsid w:val="542A20BE"/>
    <w:rsid w:val="544671C9"/>
    <w:rsid w:val="5574110E"/>
    <w:rsid w:val="56332FB1"/>
    <w:rsid w:val="57515643"/>
    <w:rsid w:val="577D5302"/>
    <w:rsid w:val="57913D66"/>
    <w:rsid w:val="58214A36"/>
    <w:rsid w:val="58BB47B4"/>
    <w:rsid w:val="596751A3"/>
    <w:rsid w:val="59CD7278"/>
    <w:rsid w:val="5A751903"/>
    <w:rsid w:val="5ABE1B17"/>
    <w:rsid w:val="5AEC6B91"/>
    <w:rsid w:val="5B3C2907"/>
    <w:rsid w:val="5B4B2442"/>
    <w:rsid w:val="5B597866"/>
    <w:rsid w:val="5BD07911"/>
    <w:rsid w:val="5CD56A49"/>
    <w:rsid w:val="5D0E3E30"/>
    <w:rsid w:val="5D1F27C7"/>
    <w:rsid w:val="5D2B4CE1"/>
    <w:rsid w:val="5D4C35F6"/>
    <w:rsid w:val="5DD010E5"/>
    <w:rsid w:val="5E197CFB"/>
    <w:rsid w:val="5EC420D5"/>
    <w:rsid w:val="5F126626"/>
    <w:rsid w:val="5F7957B0"/>
    <w:rsid w:val="5F8B7C7C"/>
    <w:rsid w:val="60BD7E5B"/>
    <w:rsid w:val="60F86860"/>
    <w:rsid w:val="610A6187"/>
    <w:rsid w:val="61AD7043"/>
    <w:rsid w:val="61AF7539"/>
    <w:rsid w:val="61E83820"/>
    <w:rsid w:val="62313297"/>
    <w:rsid w:val="627F53A1"/>
    <w:rsid w:val="631115D2"/>
    <w:rsid w:val="633E4315"/>
    <w:rsid w:val="637B06E1"/>
    <w:rsid w:val="63890E4D"/>
    <w:rsid w:val="63DA3DD4"/>
    <w:rsid w:val="6435231B"/>
    <w:rsid w:val="649255B0"/>
    <w:rsid w:val="64F07F79"/>
    <w:rsid w:val="65195912"/>
    <w:rsid w:val="65271F32"/>
    <w:rsid w:val="652E1513"/>
    <w:rsid w:val="65A158AA"/>
    <w:rsid w:val="65A823AD"/>
    <w:rsid w:val="65D45010"/>
    <w:rsid w:val="65ED6D0C"/>
    <w:rsid w:val="66242FA5"/>
    <w:rsid w:val="66750448"/>
    <w:rsid w:val="671B6DAF"/>
    <w:rsid w:val="671E1113"/>
    <w:rsid w:val="673A2DBF"/>
    <w:rsid w:val="677077A0"/>
    <w:rsid w:val="68543BAD"/>
    <w:rsid w:val="68641996"/>
    <w:rsid w:val="68815DFE"/>
    <w:rsid w:val="689618A9"/>
    <w:rsid w:val="68C71B3A"/>
    <w:rsid w:val="69025301"/>
    <w:rsid w:val="695A0B28"/>
    <w:rsid w:val="69905895"/>
    <w:rsid w:val="69AD6D3D"/>
    <w:rsid w:val="69D65CD5"/>
    <w:rsid w:val="6A022F6E"/>
    <w:rsid w:val="6A24401C"/>
    <w:rsid w:val="6A7232E5"/>
    <w:rsid w:val="6B2D2D9E"/>
    <w:rsid w:val="6B63400A"/>
    <w:rsid w:val="6C0536EA"/>
    <w:rsid w:val="6C167FFC"/>
    <w:rsid w:val="6C753814"/>
    <w:rsid w:val="6CED1C6D"/>
    <w:rsid w:val="6E124635"/>
    <w:rsid w:val="6ED22F0F"/>
    <w:rsid w:val="6ED40960"/>
    <w:rsid w:val="6F0014BC"/>
    <w:rsid w:val="6F710B33"/>
    <w:rsid w:val="6F824FED"/>
    <w:rsid w:val="6F8821E3"/>
    <w:rsid w:val="6FA50623"/>
    <w:rsid w:val="70AE736D"/>
    <w:rsid w:val="71237B03"/>
    <w:rsid w:val="727E6F0A"/>
    <w:rsid w:val="72963EFA"/>
    <w:rsid w:val="72CB60E7"/>
    <w:rsid w:val="72F65E78"/>
    <w:rsid w:val="736965E6"/>
    <w:rsid w:val="736D7B6E"/>
    <w:rsid w:val="7372081D"/>
    <w:rsid w:val="73BD60E5"/>
    <w:rsid w:val="745D6472"/>
    <w:rsid w:val="747E6BEA"/>
    <w:rsid w:val="748A4618"/>
    <w:rsid w:val="74A87567"/>
    <w:rsid w:val="74ED385A"/>
    <w:rsid w:val="74EE3B89"/>
    <w:rsid w:val="76081474"/>
    <w:rsid w:val="7625426C"/>
    <w:rsid w:val="762A782C"/>
    <w:rsid w:val="7704273B"/>
    <w:rsid w:val="771D7DD0"/>
    <w:rsid w:val="774E7D08"/>
    <w:rsid w:val="77956B05"/>
    <w:rsid w:val="77B51A44"/>
    <w:rsid w:val="77F77A99"/>
    <w:rsid w:val="787F73FF"/>
    <w:rsid w:val="7914776E"/>
    <w:rsid w:val="79367B3E"/>
    <w:rsid w:val="79722406"/>
    <w:rsid w:val="79E654FB"/>
    <w:rsid w:val="7A804CC0"/>
    <w:rsid w:val="7B167964"/>
    <w:rsid w:val="7B3E527A"/>
    <w:rsid w:val="7B566C76"/>
    <w:rsid w:val="7BE129E3"/>
    <w:rsid w:val="7C4D1E27"/>
    <w:rsid w:val="7C6449B9"/>
    <w:rsid w:val="7CE729E7"/>
    <w:rsid w:val="7D0C1CE2"/>
    <w:rsid w:val="7D5120F6"/>
    <w:rsid w:val="7DD5299C"/>
    <w:rsid w:val="7E36397C"/>
    <w:rsid w:val="7E515648"/>
    <w:rsid w:val="7E6C595C"/>
    <w:rsid w:val="7ECA749E"/>
    <w:rsid w:val="7ECB0818"/>
    <w:rsid w:val="7F065424"/>
    <w:rsid w:val="7F083C4D"/>
    <w:rsid w:val="7F38616E"/>
    <w:rsid w:val="7FD05835"/>
    <w:rsid w:val="7FE7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bCs/>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6"/>
    <w:semiHidden/>
    <w:unhideWhenUsed/>
    <w:qFormat/>
    <w:uiPriority w:val="99"/>
    <w:pPr>
      <w:ind w:firstLine="420" w:firstLineChars="200"/>
    </w:pPr>
  </w:style>
  <w:style w:type="paragraph" w:styleId="3">
    <w:name w:val="Body Text Indent"/>
    <w:basedOn w:val="1"/>
    <w:link w:val="15"/>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character" w:styleId="12">
    <w:name w:val="Hyperlink"/>
    <w:basedOn w:val="11"/>
    <w:semiHidden/>
    <w:unhideWhenUsed/>
    <w:qFormat/>
    <w:uiPriority w:val="99"/>
    <w:rPr>
      <w:color w:val="0000FF"/>
      <w:u w:val="singl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正文文本缩进 字符"/>
    <w:basedOn w:val="11"/>
    <w:link w:val="3"/>
    <w:semiHidden/>
    <w:qFormat/>
    <w:uiPriority w:val="99"/>
  </w:style>
  <w:style w:type="character" w:customStyle="1" w:styleId="16">
    <w:name w:val="正文首行缩进 2 字符"/>
    <w:basedOn w:val="15"/>
    <w:link w:val="2"/>
    <w:semiHidden/>
    <w:qFormat/>
    <w:uiPriority w:val="99"/>
  </w:style>
  <w:style w:type="character" w:customStyle="1" w:styleId="17">
    <w:name w:val="批注框文本 字符"/>
    <w:basedOn w:val="11"/>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10322</Words>
  <Characters>10414</Characters>
  <Lines>77</Lines>
  <Paragraphs>21</Paragraphs>
  <TotalTime>2</TotalTime>
  <ScaleCrop>false</ScaleCrop>
  <LinksUpToDate>false</LinksUpToDate>
  <CharactersWithSpaces>10430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2022-05-30T06:45:00Z</dcterms:created>
  <dc:creator>陈永春</dc:creator>
  <cp:lastModifiedBy>杨尚雷</cp:lastModifiedBy>
  <dcterms:modified xsi:type="dcterms:W3CDTF">2022-09-16T11:00:37Z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3F4556E57229431992B44922DF04E318</vt:lpwstr>
  </property>
</Properties>
</file>