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44"/>
          <w:szCs w:val="44"/>
        </w:rPr>
        <w:sectPr>
          <w:footerReference r:id="rId7" w:type="first"/>
          <w:headerReference r:id="rId3" w:type="default"/>
          <w:footerReference r:id="rId5" w:type="default"/>
          <w:headerReference r:id="rId4" w:type="even"/>
          <w:footerReference r:id="rId6" w:type="even"/>
          <w:pgSz w:w="11906" w:h="16838"/>
          <w:pgMar w:top="1560" w:right="1531" w:bottom="1588" w:left="1531" w:header="1020" w:footer="992" w:gutter="0"/>
          <w:pgNumType w:start="1"/>
          <w:cols w:space="720" w:num="1"/>
          <w:docGrid w:type="lines" w:linePitch="312" w:charSpace="0"/>
        </w:sectPr>
      </w:pPr>
      <w:bookmarkStart w:id="0" w:name="_Toc166238689"/>
      <w:bookmarkStart w:id="1" w:name="_Toc103345058"/>
      <w:r>
        <w:rPr>
          <w:sz w:val="44"/>
        </w:rPr>
        <mc:AlternateContent>
          <mc:Choice Requires="wps">
            <w:drawing>
              <wp:anchor distT="0" distB="0" distL="114300" distR="114300" simplePos="0" relativeHeight="251659264" behindDoc="0" locked="0" layoutInCell="1" allowOverlap="1">
                <wp:simplePos x="0" y="0"/>
                <wp:positionH relativeFrom="column">
                  <wp:posOffset>1593215</wp:posOffset>
                </wp:positionH>
                <wp:positionV relativeFrom="paragraph">
                  <wp:posOffset>7305675</wp:posOffset>
                </wp:positionV>
                <wp:extent cx="2439035" cy="485140"/>
                <wp:effectExtent l="4445" t="4445" r="13970"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39035" cy="485140"/>
                        </a:xfrm>
                        <a:prstGeom prst="rect">
                          <a:avLst/>
                        </a:prstGeom>
                        <a:solidFill>
                          <a:srgbClr val="FFFFFF"/>
                        </a:solidFill>
                        <a:ln w="9525">
                          <a:solidFill>
                            <a:srgbClr val="FFFFFF"/>
                          </a:solidFill>
                          <a:miter lim="800000"/>
                        </a:ln>
                      </wps:spPr>
                      <wps:txbx>
                        <w:txbxContent>
                          <w:p>
                            <w:pPr>
                              <w:jc w:val="center"/>
                              <w:rPr>
                                <w:rFonts w:ascii="黑体" w:hAnsi="黑体" w:eastAsia="黑体"/>
                                <w:sz w:val="36"/>
                                <w:szCs w:val="36"/>
                              </w:rPr>
                            </w:pPr>
                            <w:r>
                              <w:rPr>
                                <w:rFonts w:hint="eastAsia" w:ascii="黑体" w:hAnsi="黑体" w:eastAsia="黑体"/>
                                <w:sz w:val="36"/>
                                <w:szCs w:val="36"/>
                              </w:rPr>
                              <w:t>二〇二</w:t>
                            </w:r>
                            <w:r>
                              <w:rPr>
                                <w:rFonts w:hint="eastAsia" w:ascii="黑体" w:hAnsi="黑体" w:eastAsia="黑体"/>
                                <w:sz w:val="36"/>
                                <w:szCs w:val="36"/>
                                <w:lang w:val="en-US" w:eastAsia="zh-CN"/>
                              </w:rPr>
                              <w:t>五</w:t>
                            </w:r>
                            <w:r>
                              <w:rPr>
                                <w:rFonts w:hint="eastAsia" w:ascii="黑体" w:hAnsi="黑体" w:eastAsia="黑体"/>
                                <w:sz w:val="36"/>
                                <w:szCs w:val="36"/>
                              </w:rPr>
                              <w:t>年</w:t>
                            </w:r>
                            <w:r>
                              <w:rPr>
                                <w:rFonts w:hint="eastAsia" w:ascii="黑体" w:hAnsi="黑体" w:eastAsia="黑体"/>
                                <w:sz w:val="36"/>
                                <w:szCs w:val="36"/>
                                <w:lang w:val="en-US" w:eastAsia="zh-CN"/>
                              </w:rPr>
                              <w:t>四</w:t>
                            </w:r>
                            <w:r>
                              <w:rPr>
                                <w:rFonts w:hint="eastAsia" w:ascii="黑体" w:hAnsi="黑体" w:eastAsia="黑体"/>
                                <w:sz w:val="36"/>
                                <w:szCs w:val="36"/>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5.45pt;margin-top:575.25pt;height:38.2pt;width:192.05pt;z-index:251659264;mso-width-relative:page;mso-height-relative:page;" fillcolor="#FFFFFF" filled="t" stroked="t" coordsize="21600,21600" o:gfxdata="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v9gZ2gAAAA0BAAAPAAAAAAAAAAEAIAAAACIAAABkcnMvZG93bnJldi54bWxQSwECFAAUAAAACACH&#10;TuJAWylJkyICAAA5BAAADgAAAAAAAAABACAAAAApAQAAZHJzL2Uyb0RvYy54bWxQSwUGAAAAAAYA&#10;BgBZAQAAvQUAAAAA&#10;">
                <v:fill on="t" focussize="0,0"/>
                <v:stroke color="#FFFFFF" miterlimit="8" joinstyle="miter"/>
                <v:imagedata o:title=""/>
                <o:lock v:ext="edit" aspectratio="f"/>
                <v:textbox>
                  <w:txbxContent>
                    <w:p>
                      <w:pPr>
                        <w:jc w:val="center"/>
                        <w:rPr>
                          <w:rFonts w:ascii="黑体" w:hAnsi="黑体" w:eastAsia="黑体"/>
                          <w:sz w:val="36"/>
                          <w:szCs w:val="36"/>
                        </w:rPr>
                      </w:pPr>
                      <w:r>
                        <w:rPr>
                          <w:rFonts w:hint="eastAsia" w:ascii="黑体" w:hAnsi="黑体" w:eastAsia="黑体"/>
                          <w:sz w:val="36"/>
                          <w:szCs w:val="36"/>
                        </w:rPr>
                        <w:t>二〇二</w:t>
                      </w:r>
                      <w:r>
                        <w:rPr>
                          <w:rFonts w:hint="eastAsia" w:ascii="黑体" w:hAnsi="黑体" w:eastAsia="黑体"/>
                          <w:sz w:val="36"/>
                          <w:szCs w:val="36"/>
                          <w:lang w:val="en-US" w:eastAsia="zh-CN"/>
                        </w:rPr>
                        <w:t>五</w:t>
                      </w:r>
                      <w:r>
                        <w:rPr>
                          <w:rFonts w:hint="eastAsia" w:ascii="黑体" w:hAnsi="黑体" w:eastAsia="黑体"/>
                          <w:sz w:val="36"/>
                          <w:szCs w:val="36"/>
                        </w:rPr>
                        <w:t>年</w:t>
                      </w:r>
                      <w:r>
                        <w:rPr>
                          <w:rFonts w:hint="eastAsia" w:ascii="黑体" w:hAnsi="黑体" w:eastAsia="黑体"/>
                          <w:sz w:val="36"/>
                          <w:szCs w:val="36"/>
                          <w:lang w:val="en-US" w:eastAsia="zh-CN"/>
                        </w:rPr>
                        <w:t>四</w:t>
                      </w:r>
                      <w:r>
                        <w:rPr>
                          <w:rFonts w:hint="eastAsia" w:ascii="黑体" w:hAnsi="黑体" w:eastAsia="黑体"/>
                          <w:sz w:val="36"/>
                          <w:szCs w:val="36"/>
                        </w:rPr>
                        <w:t>月</w:t>
                      </w:r>
                    </w:p>
                  </w:txbxContent>
                </v:textbox>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227965</wp:posOffset>
                </wp:positionH>
                <wp:positionV relativeFrom="paragraph">
                  <wp:posOffset>2634615</wp:posOffset>
                </wp:positionV>
                <wp:extent cx="5158740" cy="1874520"/>
                <wp:effectExtent l="0" t="0" r="3810" b="1143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158740" cy="1874520"/>
                        </a:xfrm>
                        <a:prstGeom prst="rect">
                          <a:avLst/>
                        </a:prstGeom>
                        <a:solidFill>
                          <a:srgbClr val="FFFFFF"/>
                        </a:solidFill>
                        <a:ln>
                          <a:noFill/>
                        </a:ln>
                      </wps:spPr>
                      <wps:txbx>
                        <w:txbxContent>
                          <w:p>
                            <w:pPr>
                              <w:jc w:val="center"/>
                              <w:rPr>
                                <w:rFonts w:ascii="方正小标宋简体" w:eastAsia="方正小标宋简体"/>
                                <w:spacing w:val="100"/>
                                <w:sz w:val="84"/>
                                <w:szCs w:val="84"/>
                                <w:lang w:val="zh-CN"/>
                              </w:rPr>
                            </w:pPr>
                            <w:r>
                              <w:rPr>
                                <w:rFonts w:hint="eastAsia" w:ascii="方正小标宋简体" w:eastAsia="方正小标宋简体"/>
                                <w:spacing w:val="100"/>
                                <w:sz w:val="84"/>
                                <w:szCs w:val="84"/>
                                <w:lang w:val="zh-CN"/>
                              </w:rPr>
                              <w:t>校务公开报告</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lang w:val="zh-CN"/>
                              </w:rPr>
                              <w:t>（20</w:t>
                            </w:r>
                            <w:r>
                              <w:rPr>
                                <w:rFonts w:ascii="方正小标宋简体" w:eastAsia="方正小标宋简体"/>
                                <w:spacing w:val="20"/>
                                <w:sz w:val="72"/>
                                <w:szCs w:val="72"/>
                                <w:lang w:val="zh-CN"/>
                              </w:rPr>
                              <w:t>2</w:t>
                            </w:r>
                            <w:r>
                              <w:rPr>
                                <w:rFonts w:hint="eastAsia" w:ascii="方正小标宋简体" w:eastAsia="方正小标宋简体"/>
                                <w:spacing w:val="20"/>
                                <w:sz w:val="72"/>
                                <w:szCs w:val="72"/>
                                <w:lang w:val="en-US" w:eastAsia="zh-CN"/>
                              </w:rPr>
                              <w:t>4</w:t>
                            </w:r>
                            <w:r>
                              <w:rPr>
                                <w:rFonts w:hint="eastAsia" w:ascii="方正小标宋简体" w:eastAsia="方正小标宋简体"/>
                                <w:spacing w:val="20"/>
                                <w:sz w:val="72"/>
                                <w:szCs w:val="72"/>
                                <w:lang w:val="zh-CN"/>
                              </w:rPr>
                              <w:t>年度）</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7.95pt;margin-top:207.45pt;height:147.6pt;width:406.2pt;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OKkK9gAAAAKAQAADwAAAAAAAAABACAA&#10;AAAiAAAAZHJzL2Rvd25yZXYueG1sUEsBAhQAFAAAAAgAh07iQEYSAtMNAgAA8QMAAA4AAAAAAAAA&#10;AQAgAAAAJwEAAGRycy9lMm9Eb2MueG1sUEsFBgAAAAAGAAYAWQEAAKYFAAAAAA==&#10;">
                <v:fill on="t" focussize="0,0"/>
                <v:stroke on="f"/>
                <v:imagedata o:title=""/>
                <o:lock v:ext="edit" aspectratio="f"/>
                <v:textbox style="mso-fit-shape-to-text:t;">
                  <w:txbxContent>
                    <w:p>
                      <w:pPr>
                        <w:jc w:val="center"/>
                        <w:rPr>
                          <w:rFonts w:ascii="方正小标宋简体" w:eastAsia="方正小标宋简体"/>
                          <w:spacing w:val="100"/>
                          <w:sz w:val="84"/>
                          <w:szCs w:val="84"/>
                          <w:lang w:val="zh-CN"/>
                        </w:rPr>
                      </w:pPr>
                      <w:r>
                        <w:rPr>
                          <w:rFonts w:hint="eastAsia" w:ascii="方正小标宋简体" w:eastAsia="方正小标宋简体"/>
                          <w:spacing w:val="100"/>
                          <w:sz w:val="84"/>
                          <w:szCs w:val="84"/>
                          <w:lang w:val="zh-CN"/>
                        </w:rPr>
                        <w:t>校务公开报告</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lang w:val="zh-CN"/>
                        </w:rPr>
                        <w:t>（20</w:t>
                      </w:r>
                      <w:r>
                        <w:rPr>
                          <w:rFonts w:ascii="方正小标宋简体" w:eastAsia="方正小标宋简体"/>
                          <w:spacing w:val="20"/>
                          <w:sz w:val="72"/>
                          <w:szCs w:val="72"/>
                          <w:lang w:val="zh-CN"/>
                        </w:rPr>
                        <w:t>2</w:t>
                      </w:r>
                      <w:r>
                        <w:rPr>
                          <w:rFonts w:hint="eastAsia" w:ascii="方正小标宋简体" w:eastAsia="方正小标宋简体"/>
                          <w:spacing w:val="20"/>
                          <w:sz w:val="72"/>
                          <w:szCs w:val="72"/>
                          <w:lang w:val="en-US" w:eastAsia="zh-CN"/>
                        </w:rPr>
                        <w:t>4</w:t>
                      </w:r>
                      <w:r>
                        <w:rPr>
                          <w:rFonts w:hint="eastAsia" w:ascii="方正小标宋简体" w:eastAsia="方正小标宋简体"/>
                          <w:spacing w:val="20"/>
                          <w:sz w:val="72"/>
                          <w:szCs w:val="72"/>
                          <w:lang w:val="zh-CN"/>
                        </w:rPr>
                        <w:t>年度）</w:t>
                      </w:r>
                    </w:p>
                  </w:txbxContent>
                </v:textbox>
                <w10:wrap type="square"/>
              </v:shape>
            </w:pict>
          </mc:Fallback>
        </mc:AlternateContent>
      </w:r>
      <w:r>
        <w:drawing>
          <wp:inline distT="0" distB="0" distL="0" distR="0">
            <wp:extent cx="4972050" cy="1466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72050" cy="1466850"/>
                    </a:xfrm>
                    <a:prstGeom prst="rect">
                      <a:avLst/>
                    </a:prstGeom>
                    <a:noFill/>
                    <a:ln>
                      <a:noFill/>
                    </a:ln>
                  </pic:spPr>
                </pic:pic>
              </a:graphicData>
            </a:graphic>
          </wp:inline>
        </w:drawing>
      </w:r>
      <w:bookmarkStart w:id="37" w:name="_GoBack"/>
      <w:bookmarkEnd w:id="37"/>
    </w:p>
    <w:p>
      <w:pPr>
        <w:ind w:firstLine="0"/>
        <w:jc w:val="center"/>
        <w:rPr>
          <w:rFonts w:hint="eastAsia" w:ascii="方正小标宋简体" w:hAnsi="方正小标宋简体" w:eastAsia="方正小标宋简体" w:cs="方正小标宋简体"/>
          <w:b/>
          <w:bCs/>
          <w:color w:val="auto"/>
          <w:kern w:val="2"/>
          <w:sz w:val="44"/>
          <w:szCs w:val="44"/>
          <w:lang w:val="en-US" w:eastAsia="zh-CN" w:bidi="ar-SA"/>
          <w14:ligatures w14:val="standardContextual"/>
        </w:rPr>
      </w:pPr>
      <w:r>
        <w:rPr>
          <w:rFonts w:hint="eastAsia" w:ascii="方正小标宋简体" w:hAnsi="方正小标宋简体" w:eastAsia="方正小标宋简体" w:cs="方正小标宋简体"/>
          <w:b/>
          <w:bCs/>
          <w:color w:val="auto"/>
          <w:kern w:val="2"/>
          <w:sz w:val="44"/>
          <w:szCs w:val="44"/>
          <w:lang w:val="en-US" w:eastAsia="zh-CN" w:bidi="ar-SA"/>
          <w14:ligatures w14:val="standardContextual"/>
        </w:rPr>
        <w:t>2024年财务管理工作公开报告</w:t>
      </w:r>
      <w:bookmarkEnd w:id="0"/>
      <w:bookmarkEnd w:id="1"/>
    </w:p>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一、基本情况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近年来，学校财务工作聚焦高水平大学建设和高质量发展需求，坚持稳中求进工作总基调，按照“规范透明、服务发展、保障民生”原则，积极探索和打造与卓越大学建设相匹配的卓越财务管理体系，建设</w:t>
      </w:r>
      <w:r>
        <w:rPr>
          <w:rFonts w:hint="eastAsia" w:ascii="仿宋_GB2312" w:hAnsi="仿宋_GB2312" w:eastAsia="仿宋_GB2312" w:cs="仿宋_GB2312"/>
          <w:sz w:val="32"/>
          <w:szCs w:val="32"/>
          <w:cs/>
        </w:rPr>
        <w:t>“</w:t>
      </w:r>
      <w:r>
        <w:rPr>
          <w:rFonts w:hint="eastAsia" w:ascii="仿宋_GB2312" w:hAnsi="仿宋_GB2312" w:eastAsia="仿宋_GB2312" w:cs="仿宋_GB2312"/>
          <w:sz w:val="32"/>
          <w:szCs w:val="32"/>
        </w:rPr>
        <w:t>务实、高效、团结、廉洁</w:t>
      </w:r>
      <w:r>
        <w:rPr>
          <w:rFonts w:hint="eastAsia" w:ascii="仿宋_GB2312" w:hAnsi="仿宋_GB2312" w:eastAsia="仿宋_GB2312" w:cs="仿宋_GB2312"/>
          <w:sz w:val="32"/>
          <w:szCs w:val="32"/>
          <w:cs/>
        </w:rPr>
        <w:t>”</w:t>
      </w:r>
      <w:r>
        <w:rPr>
          <w:rFonts w:hint="eastAsia" w:ascii="仿宋_GB2312" w:hAnsi="仿宋_GB2312" w:eastAsia="仿宋_GB2312" w:cs="仿宋_GB2312"/>
          <w:sz w:val="32"/>
          <w:szCs w:val="32"/>
        </w:rPr>
        <w:t>的卓越财务管理团队，以校务公开为抓手，主动接受师生监督，持续优化资源配置，保障学校事业高质量发展。2024年度，学校总收入20.04亿元，总支出19.09亿元，年末结转资金0.95亿元，收支平衡，重点投向学科建设、人才培养、师资队伍和校园基建等领域，财务运行总体稳健。</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目前，学校财务信息主要通过学校文件、教代会财务工作报告、年鉴、年报、校志、部门工作总结、会议、校园网、财务网站、微信公众号、财务综合信息平台、财务服务手册等形式或渠道向校内进行公开，内容涵盖学校重大财务决策、年度财务预决算、收入支出管理、教育收费、政府采购管理等。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二、工作举措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1.学校重大财务决策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（1）决策程序透明化：先由任务牵头部门和计财处广泛开展调查研究，进行可行性论证并与校内相关部门充分沟通，形成建议草案，提交学校会议讨论决定。如有必要，还需报上级有关部门审批。</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（2）公开渠道：决策结果及时以学校文件、决议单等形式向校内进行公布。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2.年度财务预决算</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学校预算分为部门预算和校内预算。部门预算是学校根据省级财政部门的统一要求编制的全年财务收支计划；校内预算是对部门预算的具体细化，是学校根据事业发展需要编制的预算细化实施方案。</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坚持“积极稳妥”原则，优先保障教学科研和民生支出。部门预算在校内预算的基础上同步编报，校内预算在部门预算批复的框架内细化实施。根据省财政预算编制要求，计财处广泛征求校内各学院、部门意见，提出年度预算建议草案，经校长办公会审议通过后，再报学校党委会审定，最后由省教育厅、财政厅批复。校内预算分配方案通过学校办公网以学校文件形式向全校公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决算公开：学校年度财务决算情况定期向校长办公会议和党委会进行汇报，并在校教代会上向全体教代会代表报告。按照财政部门关于财务信息公开的规定，在学校信息公开网和计财处网站公开学校年度财务预算、决算信息，并接受社会监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3.收入支出管理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管理：学校收入来源主要包括财政补助收入、事业收入、科研收入和其他收入等。学校支出主要包括事业支出、科研支出、其他支出等。一直以来，学校严格执行“收支两条线”管理规定，校内所有收入和支出全部纳入学校财务统一管理和核算，不允许资金账外循环，不得隐瞒、滞留、截留、挪用和坐支学校收入，严禁部门和学院私设“小金库”。对于经费支出，严格执行国家财经法规和学校财务管理制度，确保支出合规、合理。为方便师生及时查询经费使用、薪酬发放、公积金缴交、经费到款、学生缴费等信息，计财处在财务综合信息平台为全校教职工开通了财务综合信息系统查询功能，使其能随时查询权限以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项目经费使用、个人薪酬、经费到款、报销金额、项目余额和银行电子回单等信息，及时掌握经费的使用情况和进度。同时，还通过计财处微信公众号，财务服务微信群、钉钉群、编制服务手册等多种途径向校内师生宣传财经政策及发布财务动态，多渠道全方位提供财务服务，加强与师生沟通，提高财务信息透明度。</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级理财：学校实行校院两级财务管理体制，学院根据上级和学校相关文件规定制定财务管理制度，要求学院经费预算和决算须经学院党政联席会议讨论通过，定期向院内教职工公开经费使用情况，实行规范理财、民主理财。为了加强对学院二级理财情况的民主监督，根据学校规定，为做好学院财务公开工作，面向学院系、室主任以上人员开通网上经费查询功能服务，被授权人员通过财务综合信息平台可实时查询学院行政经费、公务接待经费、创收经费、绩效工资经费等各项经费的使用情况。</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4.教育收费信息公开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费标准备案审批：学校认真贯彻落实教育收费政策，严格执行收费报批备案制度，切实做到依法收费。校内新增收费项目、调整收费标准须先报校收费工作领导小组审核，需报经省发改委的收费项目，根据规定上报省发改委审批或备案后实施收费。</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收费监督：学校大力实施阳光收费，为确保学生对收费工作的知情权，每年通过招生简章、缴费须知、财务网站、校内收费公示栏等途径全面公开收费项目、依据、标准与投诉电话，接受学生和社会的广泛监督。学生可通过“银校通”收费平台及时查询收费标准和缴费情况。由于我校一直以来规范管理，依法收费，成效显著，得到上级主管部门的充分肯定。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5.政府采购信息公开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度建设：为提供更便捷、高效、规范的采购工作，更好地服务高水平大学建设，学校修订了《浙江工商大学采购管理办法》和《浙江工商大学部门自行采购实施细则》，为切实落实上级采购政策、完善采购内控机制提供制度依据，为采购管理工作规范、提高采购工作效率、着力长效机制建设。</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概况：2024年，学校申报政府采购预算执行建议书1886份，涉及金额4.44亿元，其中：设备类980项，采购预算金额1.32亿元；家具类206项，采购预算金额957.15万元；软件类13项，采购预算金额516.7万元；图书资料及教材类8项，采购预算金额776.55万元；全校会议培训类129项，采购预算金额1209.68万元；招生宣传、出版、保险等服务类项目257项，采购预算金额1.18亿元；工程类78项，采购预算金额1.55亿元；其他零星采购项目215项，采购预算金额495.89万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（3）全流程公示：政府采购包括采购意向、意见征询、采购公告、采购结果、采购合同，按上级规定在浙江省政府采购网上公告。部门自行采购由使用部门按学校采购制度要求在计财处官网进行公示。</w:t>
      </w:r>
    </w:p>
    <w:p>
      <w:pPr>
        <w:rPr>
          <w:rFonts w:hint="eastAsia"/>
          <w:sz w:val="32"/>
          <w:szCs w:val="32"/>
        </w:rPr>
      </w:pPr>
      <w:r>
        <w:rPr>
          <w:rFonts w:hint="eastAsia"/>
          <w:sz w:val="32"/>
          <w:szCs w:val="32"/>
        </w:rPr>
        <w:br w:type="page"/>
      </w:r>
    </w:p>
    <w:p>
      <w:pPr>
        <w:pStyle w:val="2"/>
        <w:adjustRightInd w:val="0"/>
        <w:snapToGrid w:val="0"/>
        <w:spacing w:before="156" w:after="312" w:afterLines="100" w:line="560" w:lineRule="exact"/>
        <w:ind w:firstLine="0"/>
        <w:jc w:val="center"/>
        <w:rPr>
          <w:rFonts w:hint="eastAsia" w:ascii="方正小标宋简体" w:hAnsi="方正小标宋简体" w:cs="方正小标宋简体"/>
          <w:b/>
          <w:bCs/>
          <w:color w:val="auto"/>
          <w:sz w:val="44"/>
          <w:szCs w:val="44"/>
        </w:rPr>
      </w:pPr>
      <w:r>
        <w:rPr>
          <w:rFonts w:hint="eastAsia" w:ascii="方正小标宋简体" w:hAnsi="方正小标宋简体" w:eastAsia="方正小标宋简体" w:cs="方正小标宋简体"/>
          <w:color w:val="auto"/>
          <w:sz w:val="44"/>
          <w:szCs w:val="44"/>
        </w:rPr>
        <w:t>2024年科学研究与社会服务情况公开报告</w:t>
      </w:r>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一、基本情况</w:t>
      </w:r>
    </w:p>
    <w:p>
      <w:pPr>
        <w:spacing w:before="156" w:beforeLines="50" w:line="56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（一）创新科研体系，</w:t>
      </w:r>
      <w:r>
        <w:rPr>
          <w:rFonts w:hint="eastAsia" w:ascii="楷体_GB2312" w:hAnsi="楷体_GB2312" w:eastAsia="楷体_GB2312" w:cs="楷体_GB2312"/>
          <w:b/>
          <w:bCs/>
          <w:sz w:val="32"/>
          <w:szCs w:val="32"/>
          <w:lang w:val="zh-TW" w:eastAsia="zh-TW"/>
        </w:rPr>
        <w:t>重大</w:t>
      </w:r>
      <w:r>
        <w:rPr>
          <w:rFonts w:hint="eastAsia" w:ascii="楷体_GB2312" w:hAnsi="楷体_GB2312" w:eastAsia="楷体_GB2312" w:cs="楷体_GB2312"/>
          <w:b/>
          <w:bCs/>
          <w:sz w:val="32"/>
          <w:szCs w:val="32"/>
          <w:lang w:val="zh-TW"/>
        </w:rPr>
        <w:t>科学</w:t>
      </w:r>
      <w:r>
        <w:rPr>
          <w:rFonts w:hint="eastAsia" w:ascii="楷体_GB2312" w:hAnsi="楷体_GB2312" w:eastAsia="楷体_GB2312" w:cs="楷体_GB2312"/>
          <w:b/>
          <w:bCs/>
          <w:sz w:val="32"/>
          <w:szCs w:val="32"/>
          <w:lang w:val="zh-TW" w:eastAsia="zh-TW"/>
        </w:rPr>
        <w:t>研究能力</w:t>
      </w:r>
      <w:r>
        <w:rPr>
          <w:rFonts w:hint="eastAsia" w:ascii="楷体_GB2312" w:hAnsi="楷体_GB2312" w:eastAsia="楷体_GB2312" w:cs="楷体_GB2312"/>
          <w:b/>
          <w:bCs/>
          <w:sz w:val="32"/>
          <w:szCs w:val="32"/>
        </w:rPr>
        <w:t>不断提升</w:t>
      </w:r>
    </w:p>
    <w:p>
      <w:pPr>
        <w:spacing w:line="560" w:lineRule="exact"/>
        <w:ind w:firstLine="640" w:firstLineChars="200"/>
        <w:jc w:val="both"/>
        <w:rPr>
          <w:rFonts w:hint="eastAsia" w:ascii="仿宋_GB2312" w:hAnsi="仿宋_GB2312" w:eastAsia="仿宋_GB2312" w:cs="仿宋_GB2312"/>
          <w:color w:val="FF0000"/>
          <w:sz w:val="32"/>
          <w:szCs w:val="32"/>
        </w:rPr>
      </w:pPr>
      <w:bookmarkStart w:id="2" w:name="_Toc383768859"/>
      <w:bookmarkStart w:id="3" w:name="_Toc445468702"/>
      <w:bookmarkStart w:id="4" w:name="_Toc445815974"/>
      <w:r>
        <w:rPr>
          <w:rFonts w:hint="eastAsia" w:ascii="仿宋_GB2312" w:hAnsi="仿宋_GB2312" w:eastAsia="仿宋_GB2312" w:cs="仿宋_GB2312"/>
          <w:sz w:val="32"/>
          <w:szCs w:val="32"/>
        </w:rPr>
        <w:t>2024年，学校获准国家自然科学基金项目共39项，其中基金重点项目1项、联合基金重点项目2项；获批国家重点研发计划重点专项项目1项、国合项目1项、课题2项。</w:t>
      </w:r>
      <w:bookmarkEnd w:id="2"/>
      <w:bookmarkEnd w:id="3"/>
      <w:bookmarkEnd w:id="4"/>
      <w:r>
        <w:rPr>
          <w:rFonts w:hint="eastAsia" w:ascii="仿宋_GB2312" w:hAnsi="仿宋_GB2312" w:eastAsia="仿宋_GB2312" w:cs="仿宋_GB2312"/>
          <w:color w:val="000000" w:themeColor="text1"/>
          <w:sz w:val="32"/>
          <w:szCs w:val="32"/>
          <w14:textFill>
            <w14:solidFill>
              <w14:schemeClr w14:val="tx1"/>
            </w14:solidFill>
          </w14:textFill>
        </w:rPr>
        <w:t>首次获批国家自然科学基金重点项目，科技类国家级重大重点项目（课题）获批总数7项，创历史新高。2024年，获省部级及以上科技类科研成果奖励9项，其中以学校为第一完成单位的省科学技术奖4项。2024年，发表科技类学术论文658篇，其中A+及以上论文447篇。2024年度我校授权发明专利103项，其中,国内发明专利88项、美日欧发明专利8项。2024年度，新增横向项目88项，合同总金额3129.04万元；科技类2024年科研到款总金额为11932.79万元，较上年度增长</w:t>
      </w:r>
      <w:r>
        <w:rPr>
          <w:rFonts w:hint="eastAsia" w:ascii="仿宋_GB2312" w:hAnsi="仿宋_GB2312" w:eastAsia="仿宋_GB2312" w:cs="仿宋_GB2312"/>
          <w:sz w:val="32"/>
          <w:szCs w:val="32"/>
        </w:rPr>
        <w:t>11.1%，年度到款总额创历史新高。其中纵向到账经费8594.68万元，较2023年增长76.2%。</w:t>
      </w:r>
    </w:p>
    <w:p>
      <w:pPr>
        <w:widowControl/>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2024年，学校获准国家社科基金项目共52项，重大项目1项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年度项目39项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后期资助项目10项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艺术学项目1项；学术社团项目1项。获准教育部人文社科项目17项，较去年同比增加89%。获准省哲社课题103项，立项总数全省第一，其中重点项目数量较去年增加74%；省哲社结项首次单年度超百项，数量全省第一。已完成两批商大精品文库申报与立项工作，共23项，其中重大项目4项、重点项目10项、一般项目9项。发表社科类论文1077篇，其中A++及以上189篇；出版著作72部；以第一作者/通讯作者在《经济研究》《管理世界》等A+++期刊发表论文30篇，较去年同期16篇增长了87.5%。获批第九届教育部高等学校科学研究优秀成果奖（人文社会科学）13项成果获奖（含8项我校为参与单位），其中一等奖2项、二等奖6项、三等奖4项、青年成果奖1项。组织完成安子介国际贸易研究奖、中宣部“五个一工程奖”、刘诗白经济学奖、文化和旅游优秀研究成果、浙江省教育科学研究优秀成果奖等各类奖项申报，共申报13项成果。</w:t>
      </w:r>
    </w:p>
    <w:p>
      <w:pPr>
        <w:widowControl/>
        <w:spacing w:line="56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（二）抓实平台建设，助力服务水平持续升级</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学校积极推进科技类科研平台建设，助力科技体制改革新探索。“全省共同富裕计算科学重点实验室”、“全省食品微生物与营养健康重点实验室”、“全省大数据与未来电子商务技术重点实验室”获批为全省重点实验室，评审通过待完善全省重点实验室2个（</w:t>
      </w:r>
      <w:r>
        <w:rPr>
          <w:rFonts w:hint="eastAsia" w:ascii="仿宋_GB2312" w:hAnsi="仿宋_GB2312" w:eastAsia="仿宋_GB2312" w:cs="仿宋_GB2312"/>
          <w:b/>
          <w:bCs/>
          <w:sz w:val="32"/>
          <w:szCs w:val="32"/>
        </w:rPr>
        <w:t>7个申报指标获批5个</w:t>
      </w:r>
      <w:r>
        <w:rPr>
          <w:rFonts w:hint="eastAsia" w:ascii="仿宋_GB2312" w:hAnsi="仿宋_GB2312" w:eastAsia="仿宋_GB2312" w:cs="仿宋_GB2312"/>
          <w:sz w:val="32"/>
          <w:szCs w:val="32"/>
        </w:rPr>
        <w:t>），并依托以上重点实验室获批2024年度中央引导地方科技发展资金储备项目2项。 “统计大数据与智能分析技术国际科技合作基地”获批为浙江省国际科技合作基地。现代食品安全与营养协同创新中心阶段性评估获得A等级。</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 w:eastAsia="仿宋_GB2312" w:cs="仿宋"/>
          <w:sz w:val="32"/>
          <w:szCs w:val="32"/>
        </w:rPr>
        <w:t>2024年，学校共申报省部级及以上社科类科研平台（团队）6个，其中获批3个省部级科研平台，</w:t>
      </w:r>
      <w:r>
        <w:rPr>
          <w:rFonts w:hint="eastAsia" w:ascii="仿宋_GB2312" w:hAnsi="仿宋_GB2312" w:eastAsia="仿宋_GB2312" w:cs="仿宋_GB2312"/>
          <w:sz w:val="32"/>
          <w:szCs w:val="32"/>
        </w:rPr>
        <w:t>“共同富裕可视化与政策实验室”获批浙江省哲学社会科学实验室，“中国智能管理研究院”获批为浙江省高质量哲学社会科学重点研究基地，“共同富裕研究实验室”获批浙江省文科实验室。除此之外，“中国链研究实验室”获批第五批杭州市哲学社会科学重点研究基地。并且，我校原有三家省哲社重点研究基地全部被省社科联遴选为浙江省高质量哲学社会科学重点研究基地。</w:t>
      </w:r>
    </w:p>
    <w:p>
      <w:pPr>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2024年，学校加强与国家市场监督管理总局发展研究中心合作。签订战略合作协议并共建市场监管研究院，打造国家高端智库；我校重要窗口研究院、浙江省文化产业长兴发展研究院2家智库增选为2024CTTI来源智库，同时，我校荣获CTTI 智库研究优秀成果7项、最佳案例奖3项；持续完善智库约稿机制，2024年共收到上级部门有关约稿134篇，其中40篇获批采纳批示，目前正积极与上级有关部门对接，实现颗粒归仓。在社科赋能方面，浙商研究院吴波团队成果获评2024年度社科赋能山区海岛高质量发展行动创新案例。</w:t>
      </w:r>
    </w:p>
    <w:p>
      <w:pPr>
        <w:widowControl/>
        <w:spacing w:line="56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（三）立足产学合作，社会服务能力显著增长</w:t>
      </w:r>
    </w:p>
    <w:p>
      <w:pPr>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2024年，学校继续加强“政产学研用”一体化的合作创新机制，加强与地方政府、企业的沟通联系，加强推进科研项目合作与成果转化，努力推动大平台、大项目建设。以学校优势学科为基础积极推进山区26县跨越式高质量发展。新建技术转移中心3个，衢江生命健康产业创新中心、义乌技术转移中心、永嘉技术转移转化中心；新建校企研究中心2个，宝盛数智餐厨技术研究中心、环保产业先进技术及装备研究院；与杭州核力欣健实业股份有限公司签订校企合作协议。</w:t>
      </w:r>
    </w:p>
    <w:p>
      <w:pPr>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2024年，学校积极引导科研平台面向社会开放，加强与企业、政府部门等的合作与交流，提高平台的社会服务能力和影响力。2024年科技类</w:t>
      </w:r>
      <w:r>
        <w:rPr>
          <w:rFonts w:hint="eastAsia" w:ascii="仿宋_GB2312" w:hAnsi="仿宋_GB2312" w:eastAsia="仿宋_GB2312" w:cs="仿宋_GB2312"/>
          <w:sz w:val="32"/>
          <w:szCs w:val="32"/>
        </w:rPr>
        <w:t>横向科研经费到款3294.04万元。签订100万以上科技类横向项目9项，其中500万以上1项，200万-500万2项。</w:t>
      </w:r>
      <w:r>
        <w:rPr>
          <w:rFonts w:hint="eastAsia" w:ascii="仿宋_GB2312" w:hAnsi="仿宋" w:eastAsia="仿宋_GB2312" w:cs="仿宋"/>
          <w:sz w:val="32"/>
          <w:szCs w:val="32"/>
        </w:rPr>
        <w:t>2024年社科类横向科研经费到款2793万元，签订100万元以上横向科研项目4项，其中60万-100万元横向科研项目3项。</w:t>
      </w:r>
    </w:p>
    <w:p>
      <w:pPr>
        <w:spacing w:line="560" w:lineRule="exact"/>
        <w:ind w:firstLine="640" w:firstLineChars="200"/>
        <w:jc w:val="both"/>
        <w:rPr>
          <w:rFonts w:hint="eastAsia" w:ascii="仿宋_GB2312" w:hAnsi="仿宋" w:eastAsia="仿宋_GB2312" w:cs="仿宋"/>
          <w:sz w:val="32"/>
          <w:szCs w:val="32"/>
        </w:rPr>
      </w:pPr>
      <w:bookmarkStart w:id="5" w:name="OLE_LINK1"/>
      <w:r>
        <w:rPr>
          <w:rFonts w:hint="eastAsia" w:ascii="仿宋_GB2312" w:hAnsi="仿宋" w:eastAsia="仿宋_GB2312" w:cs="仿宋"/>
          <w:sz w:val="32"/>
          <w:szCs w:val="32"/>
        </w:rPr>
        <w:t>2024年，学校进一步推动稻盛商学院</w:t>
      </w:r>
      <w:r>
        <w:rPr>
          <w:rFonts w:ascii="仿宋_GB2312" w:hAnsi="仿宋" w:eastAsia="仿宋_GB2312" w:cs="仿宋"/>
          <w:sz w:val="32"/>
          <w:szCs w:val="32"/>
        </w:rPr>
        <w:t>、</w:t>
      </w:r>
      <w:r>
        <w:rPr>
          <w:rFonts w:hint="eastAsia" w:ascii="仿宋_GB2312" w:hAnsi="仿宋" w:eastAsia="仿宋_GB2312" w:cs="仿宋"/>
          <w:sz w:val="32"/>
          <w:szCs w:val="32"/>
        </w:rPr>
        <w:t>浙商资产管理学院等</w:t>
      </w:r>
      <w:r>
        <w:rPr>
          <w:rFonts w:ascii="仿宋_GB2312" w:hAnsi="仿宋" w:eastAsia="仿宋_GB2312" w:cs="仿宋"/>
          <w:sz w:val="32"/>
          <w:szCs w:val="32"/>
        </w:rPr>
        <w:t>6</w:t>
      </w:r>
      <w:r>
        <w:rPr>
          <w:rFonts w:hint="eastAsia" w:ascii="仿宋_GB2312" w:hAnsi="仿宋" w:eastAsia="仿宋_GB2312" w:cs="仿宋"/>
          <w:sz w:val="32"/>
          <w:szCs w:val="32"/>
        </w:rPr>
        <w:t>个校企合作项目</w:t>
      </w:r>
      <w:r>
        <w:rPr>
          <w:rFonts w:ascii="仿宋_GB2312" w:hAnsi="仿宋" w:eastAsia="仿宋_GB2312" w:cs="仿宋"/>
          <w:sz w:val="32"/>
          <w:szCs w:val="32"/>
        </w:rPr>
        <w:t>，</w:t>
      </w:r>
      <w:r>
        <w:rPr>
          <w:rFonts w:hint="eastAsia" w:ascii="仿宋_GB2312" w:hAnsi="仿宋" w:eastAsia="仿宋_GB2312" w:cs="仿宋"/>
          <w:sz w:val="32"/>
          <w:szCs w:val="32"/>
        </w:rPr>
        <w:t>省司法厅</w:t>
      </w:r>
      <w:r>
        <w:rPr>
          <w:rFonts w:ascii="仿宋_GB2312" w:hAnsi="仿宋" w:eastAsia="仿宋_GB2312" w:cs="仿宋"/>
          <w:sz w:val="32"/>
          <w:szCs w:val="32"/>
        </w:rPr>
        <w:t>、</w:t>
      </w:r>
      <w:r>
        <w:rPr>
          <w:rFonts w:hint="eastAsia" w:ascii="仿宋_GB2312" w:hAnsi="仿宋" w:eastAsia="仿宋_GB2312" w:cs="仿宋"/>
          <w:sz w:val="32"/>
          <w:szCs w:val="32"/>
        </w:rPr>
        <w:t>省审计厅等</w:t>
      </w:r>
      <w:r>
        <w:rPr>
          <w:rFonts w:ascii="仿宋_GB2312" w:hAnsi="仿宋" w:eastAsia="仿宋_GB2312" w:cs="仿宋"/>
          <w:sz w:val="32"/>
          <w:szCs w:val="32"/>
        </w:rPr>
        <w:t>8</w:t>
      </w:r>
      <w:r>
        <w:rPr>
          <w:rFonts w:hint="eastAsia" w:ascii="仿宋_GB2312" w:hAnsi="仿宋" w:eastAsia="仿宋_GB2312" w:cs="仿宋"/>
          <w:sz w:val="32"/>
          <w:szCs w:val="32"/>
        </w:rPr>
        <w:t>个校地合作项目落地见效</w:t>
      </w:r>
      <w:r>
        <w:rPr>
          <w:rFonts w:ascii="仿宋_GB2312" w:hAnsi="仿宋" w:eastAsia="仿宋_GB2312" w:cs="仿宋"/>
          <w:sz w:val="32"/>
          <w:szCs w:val="32"/>
        </w:rPr>
        <w:t>。</w:t>
      </w:r>
      <w:r>
        <w:rPr>
          <w:rFonts w:hint="eastAsia" w:ascii="仿宋_GB2312" w:hAnsi="仿宋" w:eastAsia="仿宋_GB2312" w:cs="仿宋"/>
          <w:sz w:val="32"/>
          <w:szCs w:val="32"/>
        </w:rPr>
        <w:t>2024年，社会合作到账经费总金额9078.65万元，较2023年社会合作到账经费3675万元，同比增长5403.65万元，同比增长率147.04%，社会合作到账经费连续两年增长率超过145%，其中，稻盛商学院项目合作金额1亿元，2024年度已到账捐赠金额6249.17万元，社会合作年度捐赠到账总额和单一项目年度到账金额均创历史新高。</w:t>
      </w:r>
      <w:bookmarkEnd w:id="5"/>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二、工作举措</w:t>
      </w:r>
    </w:p>
    <w:p>
      <w:pPr>
        <w:widowControl/>
        <w:spacing w:line="560" w:lineRule="exact"/>
        <w:ind w:firstLine="643" w:firstLineChars="200"/>
        <w:jc w:val="both"/>
        <w:rPr>
          <w:rFonts w:hint="eastAsia" w:ascii="楷体_GB2312" w:hAnsi="楷体_GB2312" w:eastAsia="楷体_GB2312" w:cs="楷体_GB2312"/>
          <w:b/>
          <w:bCs/>
          <w:sz w:val="32"/>
          <w:szCs w:val="32"/>
          <w:u w:val="single"/>
        </w:rPr>
      </w:pPr>
      <w:r>
        <w:rPr>
          <w:rFonts w:hint="eastAsia" w:ascii="楷体_GB2312" w:hAnsi="楷体_GB2312" w:eastAsia="楷体_GB2312" w:cs="楷体_GB2312"/>
          <w:b/>
          <w:bCs/>
          <w:sz w:val="32"/>
          <w:szCs w:val="32"/>
        </w:rPr>
        <w:t>（一）强化科研管理，提升系统谋划与推进力度</w:t>
      </w:r>
    </w:p>
    <w:p>
      <w:pPr>
        <w:widowControl/>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加强顶层设计与战略规划。明确科研管理系统的定位与目标，结合学校发展实际和学科特色，制定长期与短期的科研发展规划，确保系统谋划的科学性与前瞻性；强化科研评价与反馈，建立科学的科研评价体系，对科研工作进行定期评价和反馈。及时发现问题和不足，并采取有效措施进行改进，通过评价和反馈机制，助推科研水平和质量升级。</w:t>
      </w:r>
    </w:p>
    <w:p>
      <w:pPr>
        <w:widowControl/>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强化资源整合与信息共享。加强校内外科研资源的整合，推动科研团队之间的合作与交流，形成科研合力。推动跨学科交叉、数字+学科创新，推动跨部门、跨机构合作，鼓励不同部门、不同机构之间的科研人员共享资源，打破信息壁垒，提高资源利用效率；建立科研资源共享平台，促进科研成果的转化与应用。</w:t>
      </w:r>
    </w:p>
    <w:p>
      <w:pPr>
        <w:widowControl/>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3.完善制度建设和体制机制。</w:t>
      </w:r>
      <w:r>
        <w:rPr>
          <w:rFonts w:hint="eastAsia" w:ascii="仿宋_GB2312" w:hAnsi="仿宋_GB2312" w:eastAsia="仿宋_GB2312" w:cs="仿宋_GB2312"/>
          <w:color w:val="000000" w:themeColor="text1"/>
          <w:sz w:val="32"/>
          <w:szCs w:val="32"/>
          <w14:textFill>
            <w14:solidFill>
              <w14:schemeClr w14:val="tx1"/>
            </w14:solidFill>
          </w14:textFill>
        </w:rPr>
        <w:t>针对科研经费使用中的痛点堵点问题，牵头组织针对科研经费使用的调研、座谈会、协调会、培训会等，推动《浙江工商大学采购管理办法》和《浙江工商大学部门自行采购实施细则》等文件的及时修订。修订印发《基本科研业务费管理办法（试行）》（浙商大科〔2024〕55号）、《科研项目经费使用“包干制”管理办法（试行）》（浙商大科〔2024〕211号），草拟《浙江工商大学国家级重大科研项目培育办法》。2024年，完成《浙江工商大学科研机构管理与评估办法（试行）》文件修订，进一步完善科研机构绩效评价导向机制，开展科研机构定期评估，规范科研机构运行管理，全面推动科研平台提质升级。加强科研诚信建设，健全完善科研诚信工作机制，结合我校实际，修订出台《浙江工商大学科研诚信管理办法》。</w:t>
      </w:r>
      <w:r>
        <w:rPr>
          <w:rFonts w:hint="eastAsia" w:ascii="仿宋_GB2312" w:hAnsi="仿宋_GB2312" w:eastAsia="仿宋_GB2312" w:cs="仿宋_GB2312"/>
          <w:sz w:val="32"/>
          <w:szCs w:val="32"/>
        </w:rPr>
        <w:t>进行高层次期刊目录</w:t>
      </w:r>
      <w:r>
        <w:rPr>
          <w:rFonts w:hint="eastAsia" w:ascii="仿宋_GB2312" w:hAnsi="仿宋" w:eastAsia="仿宋_GB2312" w:cs="仿宋"/>
          <w:sz w:val="32"/>
          <w:szCs w:val="32"/>
        </w:rPr>
        <w:t>修订工作</w:t>
      </w:r>
      <w:r>
        <w:rPr>
          <w:rFonts w:hint="eastAsia" w:ascii="仿宋_GB2312" w:hAnsi="仿宋" w:eastAsia="仿宋_GB2312" w:cs="仿宋"/>
          <w:b/>
          <w:bCs/>
          <w:sz w:val="32"/>
          <w:szCs w:val="32"/>
        </w:rPr>
        <w:t>，</w:t>
      </w:r>
      <w:r>
        <w:rPr>
          <w:rFonts w:hint="eastAsia" w:ascii="仿宋_GB2312" w:hAnsi="仿宋" w:eastAsia="仿宋_GB2312" w:cs="仿宋"/>
          <w:sz w:val="32"/>
          <w:szCs w:val="32"/>
        </w:rPr>
        <w:t>经广泛意见征求和多次研讨论证，于2024年1月修订并出台《浙江工商大学高层次期刊目录 （2024 版）》（试行）。</w:t>
      </w:r>
    </w:p>
    <w:p>
      <w:pPr>
        <w:widowControl/>
        <w:spacing w:line="56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（二）以教师为中心，提供高级别精细化科管服务</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1.优化管理流程，减轻科研人员负担。优化纵向、横向项目立项流程，简化系统填报，提供全流程横向技术合同登记服务，</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年累计办理合同登记业务1</w:t>
      </w:r>
      <w:r>
        <w:rPr>
          <w:rFonts w:hint="eastAsia" w:ascii="仿宋_GB2312" w:hAnsi="仿宋_GB2312" w:eastAsia="仿宋_GB2312" w:cs="仿宋_GB2312"/>
          <w:sz w:val="32"/>
          <w:szCs w:val="32"/>
        </w:rPr>
        <w:t>08</w:t>
      </w:r>
      <w:r>
        <w:rPr>
          <w:rFonts w:ascii="仿宋_GB2312" w:hAnsi="仿宋_GB2312" w:eastAsia="仿宋_GB2312" w:cs="仿宋_GB2312"/>
          <w:sz w:val="32"/>
          <w:szCs w:val="32"/>
        </w:rPr>
        <w:t>项，登记合同金额</w:t>
      </w:r>
      <w:r>
        <w:rPr>
          <w:rFonts w:hint="eastAsia" w:ascii="仿宋_GB2312" w:hAnsi="仿宋_GB2312" w:eastAsia="仿宋_GB2312" w:cs="仿宋_GB2312"/>
          <w:sz w:val="32"/>
          <w:szCs w:val="32"/>
        </w:rPr>
        <w:t>近3500</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。高质量完成国家知识产权局等八部门联合开展的高校和科研机构存量专利盘活工作，做到全年存量专利盘点率保持100%，成为我省首批完成盘点工作的高校。</w:t>
      </w:r>
      <w:r>
        <w:rPr>
          <w:rFonts w:ascii="仿宋_GB2312" w:hAnsi="仿宋_GB2312" w:eastAsia="仿宋_GB2312" w:cs="仿宋_GB2312"/>
          <w:sz w:val="32"/>
          <w:szCs w:val="32"/>
        </w:rPr>
        <w:t>邀请兄弟院校专家来校进行了分享与交流</w:t>
      </w:r>
      <w:r>
        <w:rPr>
          <w:rFonts w:hint="eastAsia" w:ascii="仿宋_GB2312" w:hAnsi="仿宋_GB2312" w:eastAsia="仿宋_GB2312" w:cs="仿宋_GB2312"/>
          <w:sz w:val="32"/>
          <w:szCs w:val="32"/>
        </w:rPr>
        <w:t>,提供全过程精细化报奖服务。完善科研管理系统中科研机构管理与评估内容，构建科研机构数字化管理模式。</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创新服务模式，提供定制科研服务。为科研项目大户提供定制化服务，建立科研、财务、学院、教师四方专属微信群，开通财务专属绿色通道，提高财务处理效率，第一时间响应并解决问题，让科研人员无后顾之忧全身心从事项目开展。</w:t>
      </w:r>
      <w:r>
        <w:rPr>
          <w:rFonts w:hint="eastAsia" w:ascii="仿宋_GB2312" w:hAnsi="仿宋_GB2312" w:eastAsia="仿宋_GB2312" w:cs="仿宋_GB2312"/>
          <w:color w:val="000000" w:themeColor="text1"/>
          <w:sz w:val="32"/>
          <w:szCs w:val="32"/>
          <w14:textFill>
            <w14:solidFill>
              <w14:schemeClr w14:val="tx1"/>
            </w14:solidFill>
          </w14:textFill>
        </w:rPr>
        <w:t>完善科研管理系统中科研机构管理与评估模块，构建科研机构数字化管理模式，实现科研机构绩效智能化评价，提高科研机构管理效能。</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丰富活动类型，激发科研创新活力。学校组织开展“科学技术研究提升计划活动”与“科技学术月活动”，围绕国家自然科学基金、国际科技合作项目、省科学技术奖等申报论证工作，分层次分学科开展系列讲座活动，大力营造浓厚学术氛围，努力提升基础科学研究水平。</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4年，学校主办、承办或协办国内学术会议138场，学院主办或承办学术讲座3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0余场，其中“百家讲坛”23场，“钱塘青年学术沙龙”7期。</w:t>
      </w:r>
    </w:p>
    <w:p>
      <w:pPr>
        <w:widowControl/>
        <w:spacing w:line="56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（三）合力攻坚克难，推动高能级平台建设布局</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抓紧契机开展系统布局。紧紧抓住省重点实验室重组的契机，重新布局学校科技实验室体系，申报全程及时跟进，加强与上级部门对接沟通，通过开展专家论证、学术委员会会议、预答辩等形式推动实验室凝练主攻方向、明确攻关任务，并提供人财物投入做好实验室建设保障工作，最终成功获批生物育种与现代农业、大数据与信息安全、智能计算与人工智能领域全省重点实验室3个，双碳与环保技术、云计算与未来网络领域2个重点实验室已通过评审，正在建设方案完善中（</w:t>
      </w:r>
      <w:r>
        <w:rPr>
          <w:rFonts w:hint="eastAsia" w:ascii="仿宋_GB2312" w:hAnsi="仿宋_GB2312" w:eastAsia="仿宋_GB2312" w:cs="仿宋_GB2312"/>
          <w:b/>
          <w:bCs/>
          <w:sz w:val="32"/>
          <w:szCs w:val="32"/>
        </w:rPr>
        <w:t>7个申报指标获批5个</w:t>
      </w:r>
      <w:r>
        <w:rPr>
          <w:rFonts w:hint="eastAsia" w:ascii="仿宋_GB2312" w:hAnsi="仿宋_GB2312" w:eastAsia="仿宋_GB2312" w:cs="仿宋_GB2312"/>
          <w:sz w:val="32"/>
          <w:szCs w:val="32"/>
        </w:rPr>
        <w:t>）。积极探寻与省实验室等高能级科创平台合作路径，多次由校领导或科技部负责人带队与之江实验室、联合国统计大数据和数据科学全球中心进行交流对接，三方围绕助力统计学一流学科建设开展了深入讨论，初步达成了筹建数据科学联合实验室的合作意向，拟组建相关团队、设立攻关任务，推动联合实验室建设落地生花。</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创新科创平台建设模式。依托统计学登峰学科，以“大数据”为抓手，加大拓深国际合作力度，建设统计大数据与智能分析技术国际科技合作基地，以期成为学校“工商融合、文理贯通”的学科交叉国际合作平台典范。持续深化与商务部合作，联合物产中大、传化智联、杭钢集团、义乌中国小商品城、浙大长三角智慧绿洲创新中心，共建商务部长三角商业技术应用创新中心。开展新一代电子商务技术与应用网络创新平台示范基地建设重组，联合管理、统计、计算机、管工、金融学院制定2024-2028年建设方案，打造学校“大数据+商贸”为一体的新型科技力量体系架构。</w:t>
      </w:r>
    </w:p>
    <w:p>
      <w:pPr>
        <w:widowControl/>
        <w:spacing w:before="156" w:beforeLines="50" w:line="560" w:lineRule="exact"/>
        <w:ind w:firstLine="643" w:firstLineChars="200"/>
        <w:jc w:val="both"/>
        <w:rPr>
          <w:rFonts w:hint="eastAsia" w:ascii="楷体_GB2312" w:hAnsi="楷体_GB2312" w:eastAsia="楷体_GB2312" w:cs="楷体_GB2312"/>
          <w:b/>
          <w:bCs/>
          <w:sz w:val="32"/>
          <w:szCs w:val="32"/>
          <w:u w:val="single"/>
        </w:rPr>
      </w:pPr>
      <w:r>
        <w:rPr>
          <w:rFonts w:hint="eastAsia" w:ascii="楷体_GB2312" w:hAnsi="楷体_GB2312" w:eastAsia="楷体_GB2312" w:cs="楷体_GB2312"/>
          <w:b/>
          <w:bCs/>
          <w:sz w:val="32"/>
          <w:szCs w:val="32"/>
        </w:rPr>
        <w:t>（四）加大产研合作，科技赋能地方经济发展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协同联动，有组织进行产研合作。衢江生命健康创新中心、宝盛数智餐厨技术研究中心于今年顺利签约落地，以绿谷食品健康产业研究院、桐乡人工智能研究院为龙头，洞头、苍南、温岭、义乌、永嘉等技术转移中心为支撑，12个异地科研机构搭建的社会服务网络体系初步形成，与平阳、龙湾、龙泉、安吉、嘉兴等20个地方科技局在技术转移中心、科技孵化器等方面达成合作意向。同时，联合地方政府加速推进浙江工商大学国家大学科技园创建工作。</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优化产研模式，全方位助力乡村振兴。2024年，校科技部与相关职能部门、学院协同配合，带领专业教师团队和技术经纪人队伍，全年走访全省企业100余家，通过 “浙商大产学研供需发布平台”微信小程序，全年发布有效需求50余条，联合地方企业申报科技项目，打通高校科研人员与企业之间的壁垒，促进科技成果的有效转化与升级，为地方经济的高质量发展开辟了新路径。学校与浙江省产学研促进会共同举办校企合作对接会暨产学研合作圆桌会，同信息技术、生物医药、新能源、高端装备制造等领域的多位企业代表达成初步合作意向，共同推动我省科技与经济的深度融合与发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学校通过省科技厅、钱塘科学城等政府部门对外派出科技特派员（团）、博士入企人员等10余人。派遣1名省级科技特派员到衢州衢江，并与当地企业共建博士创新站，开发特色功能性食品，为地方特色产业转型提供人才支撑。派遣2支省级科技特派团到温州洞头、丽水庆元，为洞头羊栖菜、庆元食用菌等特色地方产业的可持续发展注入了强劲动力，共同推动地方经济的高质量发展。在省教育厅的牵头下，落实高校“1+1”对接赋能历史经典产业机制，对接其中的茶叶产业，发挥学校人才、学科、科研等优势，为我省历史经典产业高水平传承高质量发展注入新动能、增添新活力。助力永嘉县碧莲镇下岭根村乡村振兴，开展农技指导并帮助该村成功获批3个产业帮扶项目，共获资助67万元，发挥人才优势，与7家企事业单位共建实践教育基地，打造新型帮扶共同体“商大样板”。学校</w:t>
      </w:r>
      <w:r>
        <w:rPr>
          <w:rFonts w:ascii="仿宋_GB2312" w:hAnsi="仿宋_GB2312" w:eastAsia="仿宋_GB2312" w:cs="仿宋_GB2312"/>
          <w:sz w:val="32"/>
          <w:szCs w:val="32"/>
        </w:rPr>
        <w:t>《科技助鲵 绘就健康共富新图景》工作案例入选浙江省本科院校助力乡村振兴典型案例。</w:t>
      </w:r>
    </w:p>
    <w:p>
      <w:pPr>
        <w:widowControl/>
        <w:spacing w:before="156" w:beforeLines="50" w:line="56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（五）加强靶向发力，谱写社会合作新篇章</w:t>
      </w:r>
    </w:p>
    <w:p>
      <w:pPr>
        <w:widowControl/>
        <w:spacing w:line="560" w:lineRule="exact"/>
        <w:ind w:firstLine="640" w:firstLineChars="200"/>
        <w:jc w:val="both"/>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1.使命引领，开创社会服务新局面。以省委、省政府决策部署为指引，牵头制定《浙江工商大学社会服务行动计划（2024—2027年）》。主动服务国家对口援疆战略，助力新疆理工学院教育高质量发展。积极对接浙江区域发展需求，全面实施“一院两厅（局）、一院五区（县）”社会服务联络机制。新增省审计厅、省司法厅、省检察院、省市场监督管理局等5个厅（局），湖州市、丽水莲都区等2个市、区（县）的合作，并以清单化、项目制推进合作落地见效。深化与杭州钱塘区、嘉兴桐乡市等已签约市、区（县），省退役军人事务厅、省商务厅等厅（局）的合作。</w:t>
      </w:r>
      <w:r>
        <w:rPr>
          <w:rFonts w:ascii="仿宋_GB2312" w:hAnsi="仿宋_GB2312" w:eastAsia="仿宋_GB2312" w:cs="仿宋_GB2312"/>
          <w:sz w:val="32"/>
          <w:szCs w:val="32"/>
        </w:rPr>
        <w:t>协同</w:t>
      </w:r>
      <w:r>
        <w:rPr>
          <w:rFonts w:hint="eastAsia" w:ascii="仿宋_GB2312" w:hAnsi="仿宋_GB2312" w:eastAsia="仿宋_GB2312" w:cs="仿宋_GB2312"/>
          <w:sz w:val="32"/>
          <w:szCs w:val="32"/>
        </w:rPr>
        <w:t>学校教育基金会</w:t>
      </w:r>
      <w:r>
        <w:rPr>
          <w:rFonts w:ascii="仿宋_GB2312" w:hAnsi="仿宋_GB2312" w:eastAsia="仿宋_GB2312" w:cs="仿宋_GB2312"/>
          <w:sz w:val="32"/>
          <w:szCs w:val="32"/>
        </w:rPr>
        <w:t>修订</w:t>
      </w:r>
      <w:r>
        <w:rPr>
          <w:rFonts w:hint="eastAsia" w:ascii="仿宋_GB2312" w:hAnsi="仿宋_GB2312" w:eastAsia="仿宋_GB2312" w:cs="仿宋_GB2312"/>
          <w:sz w:val="32"/>
          <w:szCs w:val="32"/>
        </w:rPr>
        <w:t>《浙江工商大学引荐社会捐赠奖励办法（试行）》《浙江工商大学捐赠收入财政配比资金管理办法》</w:t>
      </w:r>
      <w:r>
        <w:rPr>
          <w:rFonts w:ascii="仿宋_GB2312" w:hAnsi="仿宋_GB2312" w:eastAsia="仿宋_GB2312" w:cs="仿宋_GB2312"/>
          <w:sz w:val="32"/>
          <w:szCs w:val="32"/>
        </w:rPr>
        <w:t>，通过增设筹资引资项目团队奖励，鼓励教职工积极争取社会资源，构建多元社会服务体系</w:t>
      </w:r>
      <w:r>
        <w:rPr>
          <w:rFonts w:hint="eastAsia" w:ascii="仿宋_GB2312" w:hAnsi="仿宋_GB2312" w:eastAsia="仿宋_GB2312" w:cs="仿宋_GB2312"/>
          <w:sz w:val="32"/>
          <w:szCs w:val="32"/>
        </w:rPr>
        <w:t>。对接学校教工路校区振兴计划及双校区协同发展战略需求，开发《浙江工商大学高水平卓越大学建设捐赠项目》，拟向广大校友及社会各界募款，服务高水平大学建设。</w:t>
      </w:r>
    </w:p>
    <w:p>
      <w:pPr>
        <w:widowControl/>
        <w:spacing w:before="156" w:beforeLines="5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2.重点突围，推动重点项目落地落实。推动稻盛商学院项目落地，开发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稻盛商学院及“稻盛商学院大楼”捐赠者共建方案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服务800余位捐赠人，已到账捐赠款6249.17万元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持续跟进浙商资产管理学院项目，已到账捐赠款2000万元。</w:t>
      </w:r>
      <w:r>
        <w:rPr>
          <w:rFonts w:ascii="仿宋_GB2312" w:hAnsi="仿宋_GB2312" w:eastAsia="仿宋_GB2312" w:cs="仿宋_GB2312"/>
          <w:sz w:val="32"/>
          <w:szCs w:val="32"/>
        </w:rPr>
        <w:t>持续跟进海信集团</w:t>
      </w:r>
      <w:r>
        <w:rPr>
          <w:rFonts w:hint="eastAsia" w:ascii="仿宋_GB2312" w:hAnsi="仿宋_GB2312" w:eastAsia="仿宋_GB2312" w:cs="仿宋_GB2312"/>
          <w:sz w:val="32"/>
          <w:szCs w:val="32"/>
        </w:rPr>
        <w:t>“数字战略研究院”“智慧校园研究院”合作项目</w:t>
      </w:r>
      <w:r>
        <w:rPr>
          <w:rFonts w:ascii="仿宋_GB2312" w:hAnsi="仿宋_GB2312" w:eastAsia="仿宋_GB2312" w:cs="仿宋_GB2312"/>
          <w:sz w:val="32"/>
          <w:szCs w:val="32"/>
        </w:rPr>
        <w:t>，督促相关学院推动项目落地见效。</w:t>
      </w:r>
      <w:r>
        <w:rPr>
          <w:rFonts w:hint="eastAsia" w:ascii="仿宋_GB2312" w:hAnsi="仿宋_GB2312" w:eastAsia="仿宋_GB2312" w:cs="仿宋_GB2312"/>
          <w:sz w:val="32"/>
          <w:szCs w:val="32"/>
        </w:rPr>
        <w:t>推进学校与湖州市、丽水莲都区、杭州联合银行、浙江省人民医院等合作协议签约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落地。与湖州民政局、医疗保障局开展研究生联合培养、医疗保障改革与治理研究等合作。加快推动莲都区文旅莲商、产业科技相关合作落地。</w:t>
      </w:r>
      <w:r>
        <w:rPr>
          <w:rFonts w:ascii="仿宋_GB2312" w:hAnsi="仿宋_GB2312" w:eastAsia="仿宋_GB2312" w:cs="仿宋_GB2312"/>
          <w:sz w:val="32"/>
          <w:szCs w:val="32"/>
        </w:rPr>
        <w:t>常态化走访各学院，解读资源拓展、捐赠奖励等相关政策，调动全员参与社会服务的积极性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多渠道、矩阵式宣传2个金牌服务团队、20个学院精品服务项目，制作社会服务精品手册2.0，力争打造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商大标识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社会服务体系；强化政企资源拓展，积极服务属地政府，持续开展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名企进名校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活动等，走访、联络京衡律师事务所、宁波银行、福建商会等校友单位、商会、行业协会100余家，深入探索校友企业的社会合作，赋能教工路校区振兴计划，服务高水平卓越大学建设。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3.服务升级，迈进继续教育管理新阶段。完善管理制度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制定标准合同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常态化开展继续教育合作办学专项检查及整治工作，全方位推动继续教育规范有序发展。搭建数字化服务平台，实现线上办学管理全流程监管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有效提升继续教育管理效能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持续推进学校继续教育事业转型升级，协助学院培育如不良资产研修班等6个特色项目。学校获评“浙江农民大学省级专业院”。</w:t>
      </w:r>
      <w:r>
        <w:rPr>
          <w:rFonts w:ascii="仿宋_GB2312" w:hAnsi="仿宋_GB2312" w:eastAsia="仿宋_GB2312" w:cs="仿宋_GB2312"/>
          <w:sz w:val="32"/>
          <w:szCs w:val="32"/>
        </w:rPr>
        <w:t>打磨2项学习型社会建设项目</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“自学考试嵌入技工教育的机制创新探索”项目成功入选</w:t>
      </w:r>
      <w:r>
        <w:rPr>
          <w:rFonts w:hint="eastAsia" w:ascii="仿宋_GB2312" w:hAnsi="仿宋_GB2312" w:eastAsia="仿宋_GB2312" w:cs="仿宋_GB2312"/>
          <w:sz w:val="32"/>
          <w:szCs w:val="32"/>
        </w:rPr>
        <w:t>2024年学习型社会建设重点任务</w:t>
      </w:r>
      <w:r>
        <w:rPr>
          <w:rFonts w:ascii="仿宋_GB2312" w:hAnsi="仿宋_GB2312" w:eastAsia="仿宋_GB2312" w:cs="仿宋_GB2312"/>
          <w:sz w:val="32"/>
          <w:szCs w:val="32"/>
        </w:rPr>
        <w:t>“自学考试改革创新任务”培育建设名单。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0"/>
        <w:rPr>
          <w:rFonts w:hint="eastAsia" w:ascii="方正小标宋简体" w:hAnsi="方正小标宋简体" w:eastAsia="方正小标宋简体" w:cs="方正小标宋简体"/>
          <w:b/>
          <w:bCs/>
          <w:kern w:val="44"/>
          <w:sz w:val="44"/>
          <w:szCs w:val="44"/>
        </w:rPr>
      </w:pPr>
      <w:bookmarkStart w:id="6" w:name="_Toc166238691"/>
      <w:r>
        <w:rPr>
          <w:rFonts w:hint="eastAsia" w:ascii="方正小标宋简体" w:hAnsi="方正小标宋简体" w:eastAsia="方正小标宋简体" w:cs="方正小标宋简体"/>
          <w:b/>
          <w:bCs/>
          <w:kern w:val="44"/>
          <w:sz w:val="44"/>
          <w:szCs w:val="44"/>
        </w:rPr>
        <w:t>202</w:t>
      </w:r>
      <w:r>
        <w:rPr>
          <w:rFonts w:hint="eastAsia" w:ascii="方正小标宋简体" w:hAnsi="方正小标宋简体" w:eastAsia="方正小标宋简体" w:cs="方正小标宋简体"/>
          <w:b/>
          <w:bCs/>
          <w:kern w:val="44"/>
          <w:sz w:val="44"/>
          <w:szCs w:val="44"/>
          <w:lang w:val="en-US" w:eastAsia="zh-CN"/>
        </w:rPr>
        <w:t>4</w:t>
      </w:r>
      <w:r>
        <w:rPr>
          <w:rFonts w:hint="eastAsia" w:ascii="方正小标宋简体" w:hAnsi="方正小标宋简体" w:eastAsia="方正小标宋简体" w:cs="方正小标宋简体"/>
          <w:b/>
          <w:bCs/>
          <w:kern w:val="44"/>
          <w:sz w:val="44"/>
          <w:szCs w:val="44"/>
        </w:rPr>
        <w:t>年本科生、研究生招生与就业工作</w:t>
      </w:r>
    </w:p>
    <w:p>
      <w:pPr>
        <w:keepNext w:val="0"/>
        <w:keepLines w:val="0"/>
        <w:pageBreakBefore w:val="0"/>
        <w:widowControl w:val="0"/>
        <w:kinsoku/>
        <w:wordWrap/>
        <w:overflowPunct/>
        <w:topLinePunct w:val="0"/>
        <w:autoSpaceDE/>
        <w:autoSpaceDN/>
        <w:bidi w:val="0"/>
        <w:adjustRightInd/>
        <w:snapToGrid/>
        <w:spacing w:after="0" w:afterLines="-2147483648" w:line="560" w:lineRule="exact"/>
        <w:ind w:firstLine="0"/>
        <w:jc w:val="center"/>
        <w:textAlignment w:val="auto"/>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44"/>
          <w:sz w:val="44"/>
          <w:szCs w:val="44"/>
        </w:rPr>
        <w:t>公开报告</w:t>
      </w:r>
      <w:bookmarkEnd w:id="6"/>
    </w:p>
    <w:p>
      <w:pPr>
        <w:pStyle w:val="17"/>
        <w:spacing w:line="560" w:lineRule="exact"/>
        <w:ind w:firstLine="640"/>
        <w:jc w:val="both"/>
        <w:rPr>
          <w:rFonts w:ascii="黑体" w:hAnsi="黑体" w:eastAsia="黑体" w:cs="黑体"/>
          <w:b w:val="0"/>
          <w:bCs/>
          <w:sz w:val="32"/>
          <w:szCs w:val="32"/>
        </w:rPr>
      </w:pPr>
      <w:r>
        <w:rPr>
          <w:rFonts w:hint="eastAsia" w:ascii="黑体" w:hAnsi="黑体" w:eastAsia="黑体" w:cs="黑体"/>
          <w:b w:val="0"/>
          <w:bCs/>
          <w:sz w:val="32"/>
          <w:szCs w:val="32"/>
        </w:rPr>
        <w:t>一、基本情况</w:t>
      </w:r>
    </w:p>
    <w:p>
      <w:pPr>
        <w:pStyle w:val="17"/>
        <w:spacing w:line="560" w:lineRule="exact"/>
        <w:ind w:firstLine="640"/>
        <w:jc w:val="both"/>
        <w:rPr>
          <w:rFonts w:hAnsi="楷体_GB2312" w:cs="楷体_GB2312"/>
          <w:sz w:val="32"/>
          <w:szCs w:val="32"/>
        </w:rPr>
      </w:pPr>
      <w:r>
        <w:rPr>
          <w:rFonts w:hint="eastAsia" w:hAnsi="楷体_GB2312" w:cs="楷体_GB2312"/>
          <w:sz w:val="32"/>
          <w:szCs w:val="32"/>
        </w:rPr>
        <w:t>（一）招生情况</w:t>
      </w:r>
    </w:p>
    <w:p>
      <w:pPr>
        <w:tabs>
          <w:tab w:val="left" w:pos="1440"/>
          <w:tab w:val="center" w:pos="7076"/>
        </w:tabs>
        <w:spacing w:line="560" w:lineRule="exact"/>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lang w:val="en-US" w:eastAsia="zh-CN"/>
        </w:rPr>
        <w:t>本科生：</w:t>
      </w:r>
      <w:r>
        <w:rPr>
          <w:rFonts w:hint="eastAsia" w:ascii="仿宋_GB2312" w:hAnsi="仿宋_GB2312" w:eastAsia="仿宋_GB2312" w:cs="仿宋_GB2312"/>
          <w:kern w:val="0"/>
          <w:sz w:val="32"/>
          <w:szCs w:val="32"/>
        </w:rPr>
        <w:t>2024年，学校在全国28个省（市、区）及华侨港澳台的普通本科录取工作顺利完成，共录取学生4844人。其中，普通高考录取4156人、“三位一体”综合评价招生342人、少数民族预科班转入10人、少数民族预科班10人、普通高校专升本146人、行政管理（人民武装方向）70人、新疆内高班20人、港澳台15人、第二学士学位73人、国家民委专项2人。</w:t>
      </w:r>
    </w:p>
    <w:p>
      <w:pPr>
        <w:tabs>
          <w:tab w:val="left" w:pos="1440"/>
          <w:tab w:val="center" w:pos="7076"/>
        </w:tabs>
        <w:spacing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研究生：</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年，学校共录取硕士研究生</w:t>
      </w:r>
      <w:r>
        <w:rPr>
          <w:rFonts w:hint="eastAsia" w:ascii="仿宋_GB2312" w:hAnsi="仿宋_GB2312" w:eastAsia="仿宋_GB2312" w:cs="仿宋_GB2312"/>
          <w:color w:val="auto"/>
          <w:kern w:val="0"/>
          <w:sz w:val="32"/>
          <w:szCs w:val="32"/>
          <w:highlight w:val="none"/>
          <w:lang w:val="en-US" w:eastAsia="zh-CN"/>
        </w:rPr>
        <w:t>2737</w:t>
      </w:r>
      <w:r>
        <w:rPr>
          <w:rFonts w:hint="eastAsia" w:ascii="仿宋_GB2312" w:hAnsi="仿宋_GB2312" w:eastAsia="仿宋_GB2312" w:cs="仿宋_GB2312"/>
          <w:color w:val="auto"/>
          <w:kern w:val="0"/>
          <w:sz w:val="32"/>
          <w:szCs w:val="32"/>
          <w:highlight w:val="none"/>
        </w:rPr>
        <w:t>人，其中，录取全日制学术型研究生8</w:t>
      </w:r>
      <w:r>
        <w:rPr>
          <w:rFonts w:hint="eastAsia" w:ascii="仿宋_GB2312" w:hAnsi="仿宋_GB2312" w:eastAsia="仿宋_GB2312" w:cs="仿宋_GB2312"/>
          <w:color w:val="auto"/>
          <w:kern w:val="0"/>
          <w:sz w:val="32"/>
          <w:szCs w:val="32"/>
          <w:highlight w:val="none"/>
          <w:lang w:val="en-US" w:eastAsia="zh-CN"/>
        </w:rPr>
        <w:t>83</w:t>
      </w:r>
      <w:r>
        <w:rPr>
          <w:rFonts w:hint="eastAsia" w:ascii="仿宋_GB2312" w:hAnsi="仿宋_GB2312" w:eastAsia="仿宋_GB2312" w:cs="仿宋_GB2312"/>
          <w:color w:val="auto"/>
          <w:kern w:val="0"/>
          <w:sz w:val="32"/>
          <w:szCs w:val="32"/>
          <w:highlight w:val="none"/>
        </w:rPr>
        <w:t>人，全日制专业学位研究生</w:t>
      </w:r>
      <w:r>
        <w:rPr>
          <w:rFonts w:hint="eastAsia" w:ascii="仿宋_GB2312" w:hAnsi="仿宋_GB2312" w:eastAsia="仿宋_GB2312" w:cs="仿宋_GB2312"/>
          <w:color w:val="auto"/>
          <w:kern w:val="0"/>
          <w:sz w:val="32"/>
          <w:szCs w:val="32"/>
          <w:highlight w:val="none"/>
          <w:lang w:val="en-US" w:eastAsia="zh-CN"/>
        </w:rPr>
        <w:t>1337</w:t>
      </w:r>
      <w:r>
        <w:rPr>
          <w:rFonts w:hint="eastAsia" w:ascii="仿宋_GB2312" w:hAnsi="仿宋_GB2312" w:eastAsia="仿宋_GB2312" w:cs="仿宋_GB2312"/>
          <w:color w:val="auto"/>
          <w:kern w:val="0"/>
          <w:sz w:val="32"/>
          <w:szCs w:val="32"/>
          <w:highlight w:val="none"/>
        </w:rPr>
        <w:t>人，非全日制专业学位研究生51</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人。博士研究生录取人数为1</w:t>
      </w:r>
      <w:r>
        <w:rPr>
          <w:rFonts w:hint="eastAsia" w:ascii="仿宋_GB2312" w:hAnsi="仿宋_GB2312" w:eastAsia="仿宋_GB2312" w:cs="仿宋_GB2312"/>
          <w:color w:val="auto"/>
          <w:kern w:val="0"/>
          <w:sz w:val="32"/>
          <w:szCs w:val="32"/>
          <w:highlight w:val="none"/>
          <w:lang w:val="en-US" w:eastAsia="zh-CN"/>
        </w:rPr>
        <w:t>55</w:t>
      </w:r>
      <w:r>
        <w:rPr>
          <w:rFonts w:hint="eastAsia" w:ascii="仿宋_GB2312" w:hAnsi="仿宋_GB2312" w:eastAsia="仿宋_GB2312" w:cs="仿宋_GB2312"/>
          <w:color w:val="auto"/>
          <w:kern w:val="0"/>
          <w:sz w:val="32"/>
          <w:szCs w:val="32"/>
          <w:highlight w:val="none"/>
        </w:rPr>
        <w:t>人（含中外合作专项计划</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人），其中，录取直博生</w:t>
      </w:r>
      <w:r>
        <w:rPr>
          <w:rFonts w:hint="eastAsia" w:ascii="仿宋_GB2312" w:hAnsi="仿宋_GB2312" w:eastAsia="仿宋_GB2312" w:cs="仿宋_GB2312"/>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rPr>
        <w:t>人，硕博连读</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人，“申请-考核”制</w:t>
      </w:r>
      <w:r>
        <w:rPr>
          <w:rFonts w:hint="eastAsia" w:ascii="仿宋_GB2312" w:hAnsi="仿宋_GB2312" w:eastAsia="仿宋_GB2312" w:cs="仿宋_GB2312"/>
          <w:color w:val="auto"/>
          <w:kern w:val="0"/>
          <w:sz w:val="32"/>
          <w:szCs w:val="32"/>
          <w:highlight w:val="none"/>
          <w:lang w:val="en-US" w:eastAsia="zh-CN"/>
        </w:rPr>
        <w:t>128</w:t>
      </w:r>
      <w:r>
        <w:rPr>
          <w:rFonts w:hint="eastAsia" w:ascii="仿宋_GB2312" w:hAnsi="仿宋_GB2312" w:eastAsia="仿宋_GB2312" w:cs="仿宋_GB2312"/>
          <w:color w:val="auto"/>
          <w:kern w:val="0"/>
          <w:sz w:val="32"/>
          <w:szCs w:val="32"/>
          <w:highlight w:val="none"/>
        </w:rPr>
        <w:t>人。</w:t>
      </w:r>
    </w:p>
    <w:p>
      <w:pPr>
        <w:tabs>
          <w:tab w:val="left" w:pos="1440"/>
          <w:tab w:val="center" w:pos="7076"/>
        </w:tabs>
        <w:spacing w:line="560" w:lineRule="exact"/>
        <w:ind w:firstLine="643" w:firstLineChars="200"/>
        <w:jc w:val="both"/>
        <w:rPr>
          <w:rFonts w:hint="eastAsia" w:ascii="Times New Roman Regular" w:hAnsi="Times New Roman Regular" w:eastAsia="仿宋_GB2312" w:cs="Times New Roman Regular"/>
          <w:sz w:val="32"/>
          <w:highlight w:val="none"/>
          <w:lang w:val="en-US" w:eastAsia="zh-CN"/>
        </w:rPr>
      </w:pPr>
      <w:r>
        <w:rPr>
          <w:rFonts w:hint="eastAsia" w:ascii="仿宋_GB2312" w:hAnsi="仿宋_GB2312" w:eastAsia="仿宋_GB2312" w:cs="仿宋_GB2312"/>
          <w:b/>
          <w:bCs/>
          <w:sz w:val="32"/>
          <w:szCs w:val="32"/>
        </w:rPr>
        <w:t>国际生：</w:t>
      </w:r>
      <w:r>
        <w:rPr>
          <w:rFonts w:hint="eastAsia" w:ascii="Times New Roman Regular" w:hAnsi="Times New Roman Regular" w:eastAsia="仿宋_GB2312" w:cs="Times New Roman Regular"/>
          <w:sz w:val="32"/>
          <w:highlight w:val="none"/>
          <w:lang w:val="en-US" w:eastAsia="zh-CN"/>
        </w:rPr>
        <w:t>2024年</w:t>
      </w:r>
      <w:r>
        <w:rPr>
          <w:rFonts w:hint="default" w:ascii="Times New Roman Regular" w:hAnsi="Times New Roman Regular" w:eastAsia="仿宋_GB2312" w:cs="Times New Roman Regular"/>
          <w:sz w:val="32"/>
          <w:highlight w:val="none"/>
          <w:lang w:val="en-US" w:eastAsia="zh-CN"/>
        </w:rPr>
        <w:t>共录取新生282人</w:t>
      </w:r>
      <w:r>
        <w:rPr>
          <w:rFonts w:hint="eastAsia" w:ascii="Times New Roman Regular" w:hAnsi="Times New Roman Regular" w:eastAsia="仿宋_GB2312" w:cs="Times New Roman Regular"/>
          <w:sz w:val="32"/>
          <w:highlight w:val="none"/>
          <w:lang w:val="en-US" w:eastAsia="zh-CN"/>
        </w:rPr>
        <w:t>。其中，</w:t>
      </w:r>
      <w:r>
        <w:rPr>
          <w:rFonts w:hint="default" w:ascii="Times New Roman Regular" w:hAnsi="Times New Roman Regular" w:eastAsia="仿宋_GB2312" w:cs="Times New Roman Regular"/>
          <w:sz w:val="32"/>
          <w:highlight w:val="none"/>
          <w:lang w:val="en-US" w:eastAsia="zh-CN"/>
        </w:rPr>
        <w:t>学历新生103人</w:t>
      </w:r>
      <w:r>
        <w:rPr>
          <w:rFonts w:hint="eastAsia" w:ascii="Times New Roman Regular" w:hAnsi="Times New Roman Regular" w:eastAsia="仿宋_GB2312" w:cs="Times New Roman Regular"/>
          <w:sz w:val="32"/>
          <w:highlight w:val="none"/>
          <w:lang w:val="en-US" w:eastAsia="zh-CN"/>
        </w:rPr>
        <w:t>，包括</w:t>
      </w:r>
      <w:r>
        <w:rPr>
          <w:rFonts w:hint="default" w:ascii="Times New Roman Regular" w:hAnsi="Times New Roman Regular" w:eastAsia="仿宋_GB2312" w:cs="Times New Roman Regular"/>
          <w:sz w:val="32"/>
          <w:highlight w:val="none"/>
          <w:lang w:val="en-US" w:eastAsia="zh-CN"/>
        </w:rPr>
        <w:t>本科生62人、研究生41人</w:t>
      </w:r>
      <w:r>
        <w:rPr>
          <w:rFonts w:hint="eastAsia" w:ascii="Times New Roman Regular" w:hAnsi="Times New Roman Regular" w:eastAsia="仿宋_GB2312" w:cs="Times New Roman Regular"/>
          <w:sz w:val="32"/>
          <w:highlight w:val="none"/>
          <w:lang w:val="en-US" w:eastAsia="zh-CN"/>
        </w:rPr>
        <w:t>；</w:t>
      </w:r>
      <w:r>
        <w:rPr>
          <w:rFonts w:hint="default" w:ascii="Times New Roman Regular" w:hAnsi="Times New Roman Regular" w:eastAsia="仿宋_GB2312" w:cs="Times New Roman Regular"/>
          <w:sz w:val="32"/>
          <w:highlight w:val="none"/>
          <w:lang w:val="en-US" w:eastAsia="zh-CN"/>
        </w:rPr>
        <w:t>非学历生179人</w:t>
      </w:r>
      <w:r>
        <w:rPr>
          <w:rFonts w:hint="eastAsia" w:ascii="Times New Roman Regular" w:hAnsi="Times New Roman Regular" w:eastAsia="仿宋_GB2312" w:cs="Times New Roman Regular"/>
          <w:sz w:val="32"/>
          <w:highlight w:val="none"/>
          <w:lang w:val="en-US" w:eastAsia="zh-CN"/>
        </w:rPr>
        <w:t>，包括</w:t>
      </w:r>
      <w:r>
        <w:rPr>
          <w:rFonts w:hint="default" w:ascii="Times New Roman Regular" w:hAnsi="Times New Roman Regular" w:eastAsia="仿宋_GB2312" w:cs="Times New Roman Regular"/>
          <w:sz w:val="32"/>
          <w:highlight w:val="none"/>
          <w:lang w:val="en-US" w:eastAsia="zh-CN"/>
        </w:rPr>
        <w:t>春</w:t>
      </w:r>
      <w:r>
        <w:rPr>
          <w:rFonts w:hint="eastAsia" w:ascii="Times New Roman Regular" w:hAnsi="Times New Roman Regular" w:eastAsia="仿宋_GB2312" w:cs="Times New Roman Regular"/>
          <w:sz w:val="32"/>
          <w:highlight w:val="none"/>
          <w:lang w:val="en-US" w:eastAsia="zh-CN"/>
        </w:rPr>
        <w:t>季</w:t>
      </w:r>
      <w:r>
        <w:rPr>
          <w:rFonts w:hint="default" w:ascii="Times New Roman Regular" w:hAnsi="Times New Roman Regular" w:eastAsia="仿宋_GB2312" w:cs="Times New Roman Regular"/>
          <w:sz w:val="32"/>
          <w:highlight w:val="none"/>
          <w:lang w:val="en-US" w:eastAsia="zh-CN"/>
        </w:rPr>
        <w:t>语言生35人、秋</w:t>
      </w:r>
      <w:r>
        <w:rPr>
          <w:rFonts w:hint="eastAsia" w:ascii="Times New Roman Regular" w:hAnsi="Times New Roman Regular" w:eastAsia="仿宋_GB2312" w:cs="Times New Roman Regular"/>
          <w:sz w:val="32"/>
          <w:highlight w:val="none"/>
          <w:lang w:val="en-US" w:eastAsia="zh-CN"/>
        </w:rPr>
        <w:t>季</w:t>
      </w:r>
      <w:r>
        <w:rPr>
          <w:rFonts w:hint="default" w:ascii="Times New Roman Regular" w:hAnsi="Times New Roman Regular" w:eastAsia="仿宋_GB2312" w:cs="Times New Roman Regular"/>
          <w:sz w:val="32"/>
          <w:highlight w:val="none"/>
          <w:lang w:val="en-US" w:eastAsia="zh-CN"/>
        </w:rPr>
        <w:t>语言生127人、交换生10人、</w:t>
      </w:r>
      <w:r>
        <w:rPr>
          <w:rFonts w:hint="eastAsia" w:ascii="Times New Roman Regular" w:hAnsi="Times New Roman Regular" w:eastAsia="仿宋_GB2312" w:cs="Times New Roman Regular"/>
          <w:sz w:val="32"/>
          <w:highlight w:val="none"/>
          <w:lang w:val="en-US" w:eastAsia="zh-CN"/>
        </w:rPr>
        <w:t>暑期学校</w:t>
      </w:r>
      <w:r>
        <w:rPr>
          <w:rFonts w:hint="default" w:ascii="Times New Roman Regular" w:hAnsi="Times New Roman Regular" w:eastAsia="仿宋_GB2312" w:cs="Times New Roman Regular"/>
          <w:sz w:val="32"/>
          <w:highlight w:val="none"/>
          <w:lang w:val="en-US" w:eastAsia="zh-CN"/>
        </w:rPr>
        <w:t>语言生7人</w:t>
      </w:r>
      <w:r>
        <w:rPr>
          <w:rFonts w:hint="eastAsia" w:ascii="Times New Roman Regular" w:hAnsi="Times New Roman Regular" w:eastAsia="仿宋_GB2312" w:cs="Times New Roman Regular"/>
          <w:sz w:val="32"/>
          <w:highlight w:val="none"/>
          <w:lang w:val="en-US" w:eastAsia="zh-CN"/>
        </w:rPr>
        <w:t>。本年度招收国际学生中学历生占比36.5%，其中本科生占比60.2%，研究生占比39.8%。俄罗斯、印度尼西亚、泰国、马来西亚等成为主要生源国。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Times New Roman Regular" w:hAnsi="Times New Roman Regular" w:eastAsia="仿宋_GB2312" w:cs="Times New Roman Regular"/>
          <w:sz w:val="32"/>
          <w:highlight w:val="none"/>
          <w:lang w:val="en-US" w:eastAsia="zh-CN"/>
        </w:rPr>
        <w:t>学校持续优化国际生生源结构和培养层次。2024年新招收国际学生中亚洲生源占比59.9%，欧洲生源占比超过非洲、达到25.8%。来自法国、比利时、日本、韩国等发达国家以及俄罗斯等中等发达国家新生65人，同比增长近两倍；学历新生中“一带一路”国家学生占比78.7%。硕博研究生均具备一定的学术能力，有多位毕业于哈尔滨工业大学、上海大学、中国石油大学等国内985、211高校，硕博生源质量不断提升。</w:t>
      </w:r>
    </w:p>
    <w:p>
      <w:pPr>
        <w:spacing w:line="56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（二）就业情况</w:t>
      </w:r>
    </w:p>
    <w:p>
      <w:pPr>
        <w:pStyle w:val="17"/>
        <w:spacing w:line="560" w:lineRule="exact"/>
        <w:ind w:firstLine="640"/>
        <w:jc w:val="both"/>
        <w:rPr>
          <w:rFonts w:hint="eastAsia" w:ascii="仿宋_GB2312" w:hAnsi="仿宋_GB2312" w:eastAsia="仿宋_GB2312" w:cs="仿宋_GB2312"/>
          <w:b/>
          <w:bCs/>
          <w:sz w:val="32"/>
          <w:szCs w:val="32"/>
        </w:rPr>
      </w:pPr>
      <w:r>
        <w:rPr>
          <w:rFonts w:hint="eastAsia" w:ascii="仿宋_GB2312" w:hAnsi="仿宋_GB2312" w:eastAsia="仿宋_GB2312" w:cs="仿宋_GB2312"/>
          <w:b w:val="0"/>
          <w:color w:val="auto"/>
          <w:kern w:val="0"/>
          <w:sz w:val="32"/>
          <w:szCs w:val="32"/>
          <w:highlight w:val="none"/>
        </w:rPr>
        <w:t>202</w:t>
      </w:r>
      <w:r>
        <w:rPr>
          <w:rFonts w:hint="eastAsia" w:ascii="仿宋_GB2312" w:hAnsi="仿宋_GB2312" w:eastAsia="仿宋_GB2312" w:cs="仿宋_GB2312"/>
          <w:b w:val="0"/>
          <w:color w:val="auto"/>
          <w:kern w:val="0"/>
          <w:sz w:val="32"/>
          <w:szCs w:val="32"/>
          <w:highlight w:val="none"/>
          <w:lang w:val="en-US" w:eastAsia="zh-CN"/>
        </w:rPr>
        <w:t>4</w:t>
      </w:r>
      <w:r>
        <w:rPr>
          <w:rFonts w:hint="eastAsia" w:ascii="仿宋_GB2312" w:hAnsi="仿宋_GB2312" w:eastAsia="仿宋_GB2312" w:cs="仿宋_GB2312"/>
          <w:b w:val="0"/>
          <w:color w:val="auto"/>
          <w:kern w:val="0"/>
          <w:sz w:val="32"/>
          <w:szCs w:val="32"/>
          <w:highlight w:val="none"/>
        </w:rPr>
        <w:t>年，学校毕业生共有</w:t>
      </w:r>
      <w:r>
        <w:rPr>
          <w:rFonts w:hint="eastAsia" w:ascii="仿宋_GB2312" w:hAnsi="仿宋_GB2312" w:eastAsia="仿宋_GB2312" w:cs="仿宋_GB2312"/>
          <w:b w:val="0"/>
          <w:color w:val="auto"/>
          <w:kern w:val="0"/>
          <w:sz w:val="32"/>
          <w:szCs w:val="32"/>
          <w:highlight w:val="none"/>
          <w:lang w:val="en-US" w:eastAsia="zh-CN"/>
        </w:rPr>
        <w:t>6438</w:t>
      </w:r>
      <w:r>
        <w:rPr>
          <w:rFonts w:hint="eastAsia" w:ascii="仿宋_GB2312" w:hAnsi="仿宋_GB2312" w:eastAsia="仿宋_GB2312" w:cs="仿宋_GB2312"/>
          <w:b w:val="0"/>
          <w:color w:val="auto"/>
          <w:kern w:val="0"/>
          <w:sz w:val="32"/>
          <w:szCs w:val="32"/>
          <w:highlight w:val="none"/>
        </w:rPr>
        <w:t>人，总体毕业去向落实率为9</w:t>
      </w:r>
      <w:r>
        <w:rPr>
          <w:rFonts w:hint="eastAsia" w:ascii="仿宋_GB2312" w:hAnsi="仿宋_GB2312" w:eastAsia="仿宋_GB2312" w:cs="仿宋_GB2312"/>
          <w:b w:val="0"/>
          <w:color w:val="auto"/>
          <w:kern w:val="0"/>
          <w:sz w:val="32"/>
          <w:szCs w:val="32"/>
          <w:highlight w:val="none"/>
          <w:lang w:val="en-US" w:eastAsia="zh-CN"/>
        </w:rPr>
        <w:t>4.59</w:t>
      </w:r>
      <w:r>
        <w:rPr>
          <w:rFonts w:hint="eastAsia" w:ascii="仿宋_GB2312" w:hAnsi="仿宋_GB2312" w:eastAsia="仿宋_GB2312" w:cs="仿宋_GB2312"/>
          <w:b w:val="0"/>
          <w:color w:val="auto"/>
          <w:kern w:val="0"/>
          <w:sz w:val="32"/>
          <w:szCs w:val="32"/>
          <w:highlight w:val="none"/>
        </w:rPr>
        <w:t>%，处于省属本科高校前列。其中本科毕业生毕业去向落实率为9</w:t>
      </w:r>
      <w:r>
        <w:rPr>
          <w:rFonts w:hint="eastAsia" w:ascii="仿宋_GB2312" w:hAnsi="仿宋_GB2312" w:eastAsia="仿宋_GB2312" w:cs="仿宋_GB2312"/>
          <w:b w:val="0"/>
          <w:color w:val="auto"/>
          <w:kern w:val="0"/>
          <w:sz w:val="32"/>
          <w:szCs w:val="32"/>
          <w:highlight w:val="none"/>
          <w:lang w:val="en-US" w:eastAsia="zh-CN"/>
        </w:rPr>
        <w:t>4.07</w:t>
      </w:r>
      <w:r>
        <w:rPr>
          <w:rFonts w:hint="eastAsia" w:ascii="仿宋_GB2312" w:hAnsi="仿宋_GB2312" w:eastAsia="仿宋_GB2312" w:cs="仿宋_GB2312"/>
          <w:b w:val="0"/>
          <w:color w:val="auto"/>
          <w:kern w:val="0"/>
          <w:sz w:val="32"/>
          <w:szCs w:val="32"/>
          <w:highlight w:val="none"/>
        </w:rPr>
        <w:t>%，毕业研究生毕业去向落实率为9</w:t>
      </w:r>
      <w:r>
        <w:rPr>
          <w:rFonts w:hint="eastAsia" w:ascii="仿宋_GB2312" w:hAnsi="仿宋_GB2312" w:eastAsia="仿宋_GB2312" w:cs="仿宋_GB2312"/>
          <w:b w:val="0"/>
          <w:color w:val="auto"/>
          <w:kern w:val="0"/>
          <w:sz w:val="32"/>
          <w:szCs w:val="32"/>
          <w:highlight w:val="none"/>
          <w:lang w:val="en-US" w:eastAsia="zh-CN"/>
        </w:rPr>
        <w:t>5.41</w:t>
      </w:r>
      <w:r>
        <w:rPr>
          <w:rFonts w:hint="eastAsia" w:ascii="仿宋_GB2312" w:hAnsi="仿宋_GB2312" w:eastAsia="仿宋_GB2312" w:cs="仿宋_GB2312"/>
          <w:b w:val="0"/>
          <w:color w:val="auto"/>
          <w:kern w:val="0"/>
          <w:sz w:val="32"/>
          <w:szCs w:val="32"/>
          <w:highlight w:val="none"/>
        </w:rPr>
        <w:t>%。各类基层就业毕业生有35人，考取浙江省县乡机关选调生49名。本科毕业生继续深造的有</w:t>
      </w:r>
      <w:r>
        <w:rPr>
          <w:rFonts w:hint="eastAsia" w:ascii="仿宋_GB2312" w:hAnsi="仿宋_GB2312" w:eastAsia="仿宋_GB2312" w:cs="仿宋_GB2312"/>
          <w:b w:val="0"/>
          <w:color w:val="auto"/>
          <w:kern w:val="0"/>
          <w:sz w:val="32"/>
          <w:szCs w:val="32"/>
          <w:highlight w:val="none"/>
          <w:lang w:val="en-US" w:eastAsia="zh-CN"/>
        </w:rPr>
        <w:t>1514</w:t>
      </w:r>
      <w:r>
        <w:rPr>
          <w:rFonts w:hint="eastAsia" w:ascii="仿宋_GB2312" w:hAnsi="仿宋_GB2312" w:eastAsia="仿宋_GB2312" w:cs="仿宋_GB2312"/>
          <w:b w:val="0"/>
          <w:color w:val="auto"/>
          <w:kern w:val="0"/>
          <w:sz w:val="32"/>
          <w:szCs w:val="32"/>
          <w:highlight w:val="none"/>
        </w:rPr>
        <w:t>人，深造率为36.</w:t>
      </w:r>
      <w:r>
        <w:rPr>
          <w:rFonts w:hint="eastAsia" w:ascii="仿宋_GB2312" w:hAnsi="仿宋_GB2312" w:eastAsia="仿宋_GB2312" w:cs="仿宋_GB2312"/>
          <w:b w:val="0"/>
          <w:color w:val="auto"/>
          <w:kern w:val="0"/>
          <w:sz w:val="32"/>
          <w:szCs w:val="32"/>
          <w:highlight w:val="none"/>
          <w:lang w:val="en-US" w:eastAsia="zh-CN"/>
        </w:rPr>
        <w:t>50</w:t>
      </w:r>
      <w:r>
        <w:rPr>
          <w:rFonts w:hint="eastAsia" w:ascii="仿宋_GB2312" w:hAnsi="仿宋_GB2312" w:eastAsia="仿宋_GB2312" w:cs="仿宋_GB2312"/>
          <w:b w:val="0"/>
          <w:color w:val="auto"/>
          <w:kern w:val="0"/>
          <w:sz w:val="32"/>
          <w:szCs w:val="32"/>
          <w:highlight w:val="none"/>
        </w:rPr>
        <w:t>%。</w:t>
      </w:r>
    </w:p>
    <w:p>
      <w:pPr>
        <w:pStyle w:val="17"/>
        <w:spacing w:line="560" w:lineRule="exact"/>
        <w:ind w:firstLine="640"/>
        <w:jc w:val="both"/>
        <w:rPr>
          <w:rFonts w:hint="eastAsia" w:ascii="黑体" w:hAnsi="黑体" w:eastAsia="黑体" w:cs="黑体"/>
          <w:b w:val="0"/>
          <w:bCs/>
        </w:rPr>
      </w:pPr>
      <w:r>
        <w:rPr>
          <w:rFonts w:hint="eastAsia" w:ascii="黑体" w:hAnsi="黑体" w:eastAsia="黑体" w:cs="黑体"/>
          <w:b w:val="0"/>
          <w:bCs/>
        </w:rPr>
        <w:t>二、工作举措</w:t>
      </w:r>
    </w:p>
    <w:p>
      <w:pPr>
        <w:pStyle w:val="17"/>
        <w:spacing w:line="560" w:lineRule="exact"/>
        <w:ind w:firstLine="640"/>
        <w:jc w:val="both"/>
        <w:rPr>
          <w:rFonts w:hint="eastAsia" w:hAnsi="楷体_GB2312" w:cs="楷体_GB2312"/>
          <w:bCs/>
        </w:rPr>
      </w:pPr>
      <w:r>
        <w:rPr>
          <w:rFonts w:hint="eastAsia" w:hAnsi="楷体_GB2312" w:cs="楷体_GB2312"/>
          <w:bCs/>
        </w:rPr>
        <w:t>（一）招生工作</w:t>
      </w:r>
    </w:p>
    <w:p>
      <w:pPr>
        <w:pStyle w:val="17"/>
        <w:spacing w:line="560" w:lineRule="exact"/>
        <w:ind w:firstLine="640"/>
        <w:jc w:val="both"/>
        <w:rPr>
          <w:rFonts w:hint="eastAsia" w:ascii="仿宋_GB2312" w:hAnsi="仿宋_GB2312" w:eastAsia="仿宋_GB2312" w:cs="仿宋_GB2312"/>
          <w:bCs/>
          <w:kern w:val="0"/>
        </w:rPr>
      </w:pPr>
      <w:r>
        <w:rPr>
          <w:rFonts w:hint="eastAsia" w:ascii="仿宋_GB2312" w:hAnsi="仿宋_GB2312" w:eastAsia="仿宋_GB2312" w:cs="仿宋_GB2312"/>
          <w:bCs/>
          <w:kern w:val="0"/>
        </w:rPr>
        <w:t>1.本科招生工作</w:t>
      </w:r>
    </w:p>
    <w:p>
      <w:pPr>
        <w:pStyle w:val="17"/>
        <w:spacing w:line="560" w:lineRule="exact"/>
        <w:ind w:firstLine="640"/>
        <w:rPr>
          <w:rFonts w:hint="eastAsia" w:ascii="仿宋_GB2312" w:hAnsi="仿宋_GB2312" w:eastAsia="仿宋_GB2312" w:cs="仿宋_GB2312"/>
          <w:b w:val="0"/>
          <w:kern w:val="0"/>
        </w:rPr>
      </w:pPr>
      <w:r>
        <w:rPr>
          <w:rFonts w:hint="eastAsia" w:ascii="仿宋_GB2312" w:hAnsi="仿宋_GB2312" w:eastAsia="仿宋_GB2312" w:cs="仿宋_GB2312"/>
          <w:b w:val="0"/>
          <w:kern w:val="0"/>
        </w:rPr>
        <w:t>（1）</w:t>
      </w:r>
      <w:r>
        <w:rPr>
          <w:rFonts w:hint="eastAsia" w:ascii="仿宋_GB2312" w:hAnsi="仿宋_GB2312" w:eastAsia="仿宋_GB2312" w:cs="仿宋_GB2312"/>
          <w:b w:val="0"/>
          <w:kern w:val="0"/>
          <w:lang w:val="en-US" w:eastAsia="zh-CN"/>
        </w:rPr>
        <w:t>多项举措显成效，</w:t>
      </w:r>
      <w:r>
        <w:rPr>
          <w:rFonts w:hint="eastAsia" w:ascii="仿宋_GB2312" w:hAnsi="仿宋_GB2312" w:eastAsia="仿宋_GB2312" w:cs="仿宋_GB2312"/>
          <w:b w:val="0"/>
          <w:kern w:val="0"/>
        </w:rPr>
        <w:t>调整计划优结构</w:t>
      </w:r>
    </w:p>
    <w:p>
      <w:pPr>
        <w:pStyle w:val="17"/>
        <w:spacing w:line="560" w:lineRule="exact"/>
        <w:ind w:firstLine="640"/>
        <w:rPr>
          <w:rFonts w:hint="eastAsia" w:ascii="仿宋_GB2312" w:hAnsi="仿宋_GB2312" w:eastAsia="仿宋_GB2312" w:cs="仿宋_GB2312"/>
          <w:b w:val="0"/>
          <w:kern w:val="0"/>
        </w:rPr>
      </w:pPr>
      <w:r>
        <w:rPr>
          <w:rFonts w:hint="eastAsia" w:ascii="仿宋_GB2312" w:hAnsi="仿宋_GB2312" w:eastAsia="仿宋_GB2312" w:cs="仿宋_GB2312"/>
          <w:b w:val="0"/>
          <w:kern w:val="0"/>
        </w:rPr>
        <w:t>调整招生计划结构，不断提升生源质量。一是增加出省计划，首次成功实现跨省校际交换计划，和西南政法大学、河南大学等5所高校5个省考试院签订交换协议，出省计划由2023年的1603人增加至2024年的1720人。二是积极争取优本计划。2024年优本计划由200人增加到300人。三是优化投放计划。保障统计学科冲击登峰学科，减少统计学科在定向、国家专项、新疆等生源差省的招生计划，优化该学科省外计划。此外，减少日语、公共管理类、外国语言文学类等专业类计划，增加法学类、计算机类、艺术类等专业类计划。四是调整招生类别。在“三位一体”综合评价招生中新增金融学（普惠金融创新班）和中外合作专业招生，去除法学、统计等专业招生。</w:t>
      </w:r>
    </w:p>
    <w:p>
      <w:pPr>
        <w:pStyle w:val="17"/>
        <w:spacing w:line="560" w:lineRule="exact"/>
        <w:ind w:firstLine="640"/>
        <w:rPr>
          <w:rFonts w:hint="default" w:ascii="仿宋_GB2312" w:hAnsi="仿宋_GB2312" w:eastAsia="仿宋_GB2312" w:cs="仿宋_GB2312"/>
          <w:b w:val="0"/>
          <w:kern w:val="0"/>
          <w:lang w:val="en-US"/>
        </w:rPr>
      </w:pPr>
      <w:r>
        <w:rPr>
          <w:rFonts w:hint="eastAsia" w:ascii="仿宋_GB2312" w:hAnsi="仿宋_GB2312" w:eastAsia="仿宋_GB2312" w:cs="仿宋_GB2312"/>
          <w:b w:val="0"/>
          <w:kern w:val="0"/>
        </w:rPr>
        <w:t>（2）</w:t>
      </w:r>
      <w:r>
        <w:rPr>
          <w:rFonts w:hint="eastAsia" w:ascii="仿宋_GB2312" w:hAnsi="仿宋_GB2312" w:eastAsia="仿宋_GB2312" w:cs="仿宋_GB2312"/>
          <w:b w:val="0"/>
          <w:kern w:val="0"/>
          <w:lang w:val="en-US" w:eastAsia="zh-CN"/>
        </w:rPr>
        <w:t>新增3个创新班，深化人才培养源动力</w:t>
      </w:r>
    </w:p>
    <w:p>
      <w:pPr>
        <w:pStyle w:val="17"/>
        <w:spacing w:line="560" w:lineRule="exact"/>
        <w:ind w:firstLine="640"/>
        <w:rPr>
          <w:rFonts w:hint="eastAsia" w:ascii="仿宋_GB2312" w:hAnsi="仿宋_GB2312" w:eastAsia="仿宋_GB2312" w:cs="仿宋_GB2312"/>
          <w:b w:val="0"/>
          <w:kern w:val="0"/>
        </w:rPr>
      </w:pPr>
      <w:r>
        <w:rPr>
          <w:rFonts w:hint="eastAsia" w:ascii="仿宋_GB2312" w:hAnsi="仿宋_GB2312" w:eastAsia="仿宋_GB2312" w:cs="仿宋_GB2312"/>
          <w:b w:val="0"/>
          <w:kern w:val="0"/>
        </w:rPr>
        <w:t>2024年，新成功申报3个创新班。吸引了一波高分考生，投档分和投档位次均高于同专业普通班。分别是旅游管理（数字文旅创新班）、行政管理（数字治理创新班）、金融学（普惠金融创新班），加上2022、2023年设立的经济统计学（拔尖人才创新班）、工商管理（数字管理拔尖人才创新班）、经济学（拔尖人才创新班）、投资学（资产管理创新班）、电子商务（跨境电商与商务智能创新班）、信息管理与信息系统 (大数据管理创新班），学校现共有9个创新班。</w:t>
      </w:r>
    </w:p>
    <w:p>
      <w:pPr>
        <w:pStyle w:val="17"/>
        <w:spacing w:line="560" w:lineRule="exact"/>
        <w:ind w:firstLine="640"/>
        <w:rPr>
          <w:rFonts w:hint="eastAsia" w:ascii="仿宋_GB2312" w:hAnsi="仿宋_GB2312" w:eastAsia="仿宋_GB2312" w:cs="仿宋_GB2312"/>
          <w:b w:val="0"/>
          <w:kern w:val="0"/>
        </w:rPr>
      </w:pPr>
      <w:r>
        <w:rPr>
          <w:rFonts w:hint="eastAsia" w:ascii="仿宋_GB2312" w:hAnsi="仿宋_GB2312" w:eastAsia="仿宋_GB2312" w:cs="仿宋_GB2312"/>
          <w:b w:val="0"/>
          <w:kern w:val="0"/>
        </w:rPr>
        <w:t>（3）</w:t>
      </w:r>
      <w:r>
        <w:rPr>
          <w:rFonts w:hint="eastAsia" w:ascii="仿宋_GB2312" w:hAnsi="仿宋_GB2312" w:eastAsia="仿宋_GB2312" w:cs="仿宋_GB2312"/>
          <w:b w:val="0"/>
          <w:kern w:val="0"/>
          <w:lang w:val="en-US" w:eastAsia="zh-CN"/>
        </w:rPr>
        <w:t>线上线下全覆盖，</w:t>
      </w:r>
      <w:r>
        <w:rPr>
          <w:rFonts w:hint="eastAsia" w:ascii="仿宋_GB2312" w:hAnsi="仿宋_GB2312" w:eastAsia="仿宋_GB2312" w:cs="仿宋_GB2312"/>
          <w:b w:val="0"/>
          <w:kern w:val="0"/>
        </w:rPr>
        <w:t>加大宣传提效度</w:t>
      </w:r>
    </w:p>
    <w:p>
      <w:pPr>
        <w:pStyle w:val="17"/>
        <w:spacing w:line="560" w:lineRule="exact"/>
        <w:ind w:firstLine="640"/>
        <w:jc w:val="both"/>
      </w:pPr>
      <w:r>
        <w:rPr>
          <w:rFonts w:hint="eastAsia" w:ascii="仿宋_GB2312" w:hAnsi="仿宋_GB2312" w:eastAsia="仿宋_GB2312" w:cs="仿宋_GB2312"/>
          <w:b w:val="0"/>
          <w:kern w:val="0"/>
        </w:rPr>
        <w:t>2024年，在扩大宣传覆盖面的基础上重点提高有效性，增加宣传吸引力，实现重点生源中学宣传覆盖率100%。一是增加宣传品类。新推出40余名教授主讲的“共赴卓越”高中微课、优化校园开放日研学项目2.0版，把学校海报、触摸屏摆进500余所高中；开展“共赴卓越，挑战99+”招生宣传短视频大赛播放量达到289.7万次；开展“商大邮局”给高考生寄送明信片等活动。二是增加曝光频次。采用地理信息围栏技术，与浙江日报、浙江卫视、腾讯视频等16家招生主流媒体合作，参加《招办主任面对面》《王牌专业解读》等 11个平台直播，定向精准推送家长、考生人群超2100万人次；招生咨询电话、微信小程序累计咨询 4.8万人次（截至11月底），咨询量较上年提升15%。三是增加与受众的情感链接。与学军集团、杭高集团等71所重点生源基地签约；组织学校师生开展线下招生宣传和咨询192场；向高中寄送招生录取喜报118份；校园开放日接待2500余名高中师生。四是内容升级。打造校长访谈、选择商大和学院的N个理由、一张图看懂专业、寻找商大代言人等系列报道；成功举办第十七届“回访母校”实践活动，师生1860余人回到25个省份的502所高中母校宣传商大；</w:t>
      </w:r>
      <w:r>
        <w:rPr>
          <w:rFonts w:hint="eastAsia" w:ascii="仿宋_GB2312" w:hAnsi="仿宋_GB2312" w:eastAsia="仿宋_GB2312" w:cs="仿宋_GB2312"/>
          <w:b w:val="0"/>
          <w:kern w:val="0"/>
          <w:lang w:val="en-US" w:eastAsia="zh-CN"/>
        </w:rPr>
        <w:t>形成</w:t>
      </w:r>
      <w:r>
        <w:rPr>
          <w:rFonts w:hint="eastAsia" w:ascii="仿宋_GB2312" w:hAnsi="仿宋_GB2312" w:eastAsia="仿宋_GB2312" w:cs="仿宋_GB2312"/>
          <w:b w:val="0"/>
          <w:kern w:val="0"/>
        </w:rPr>
        <w:t>校长说、教授说、学长说、校友说、名家说、家长说等360度</w:t>
      </w:r>
      <w:r>
        <w:rPr>
          <w:rFonts w:hint="eastAsia" w:ascii="仿宋_GB2312" w:hAnsi="仿宋_GB2312" w:eastAsia="仿宋_GB2312" w:cs="仿宋_GB2312"/>
          <w:b w:val="0"/>
          <w:kern w:val="0"/>
          <w:lang w:val="en-US" w:eastAsia="zh-CN"/>
        </w:rPr>
        <w:t>全媒体矩阵</w:t>
      </w:r>
      <w:r>
        <w:rPr>
          <w:rFonts w:hint="eastAsia" w:ascii="仿宋_GB2312" w:hAnsi="仿宋_GB2312" w:eastAsia="仿宋_GB2312" w:cs="仿宋_GB2312"/>
          <w:b w:val="0"/>
          <w:kern w:val="0"/>
        </w:rPr>
        <w:t>宣传；</w:t>
      </w:r>
      <w:r>
        <w:rPr>
          <w:rFonts w:hint="eastAsia" w:ascii="仿宋_GB2312" w:hAnsi="仿宋_GB2312" w:eastAsia="仿宋_GB2312" w:cs="仿宋_GB2312"/>
          <w:b w:val="0"/>
          <w:kern w:val="0"/>
          <w:lang w:val="en-US" w:eastAsia="zh-CN"/>
        </w:rPr>
        <w:t>面向</w:t>
      </w:r>
      <w:r>
        <w:rPr>
          <w:rFonts w:hint="eastAsia" w:ascii="仿宋_GB2312" w:hAnsi="仿宋_GB2312" w:eastAsia="仿宋_GB2312" w:cs="仿宋_GB2312"/>
          <w:b w:val="0"/>
          <w:kern w:val="0"/>
        </w:rPr>
        <w:t>高中负责人、教师、学生、家长</w:t>
      </w:r>
      <w:r>
        <w:rPr>
          <w:rFonts w:hint="eastAsia" w:ascii="仿宋_GB2312" w:hAnsi="仿宋_GB2312" w:eastAsia="仿宋_GB2312" w:cs="仿宋_GB2312"/>
          <w:b w:val="0"/>
          <w:kern w:val="0"/>
          <w:lang w:val="en-US" w:eastAsia="zh-CN"/>
        </w:rPr>
        <w:t>等群体，</w:t>
      </w:r>
      <w:r>
        <w:rPr>
          <w:rFonts w:hint="eastAsia" w:ascii="仿宋_GB2312" w:hAnsi="仿宋_GB2312" w:eastAsia="仿宋_GB2312" w:cs="仿宋_GB2312"/>
          <w:b w:val="0"/>
          <w:kern w:val="0"/>
        </w:rPr>
        <w:t>举办“智汇商大·启梦未来”系列新生座谈会20场。</w:t>
      </w:r>
    </w:p>
    <w:p>
      <w:pPr>
        <w:pStyle w:val="17"/>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hAnsi="楷体_GB2312" w:cs="楷体_GB2312"/>
          <w:sz w:val="32"/>
          <w:szCs w:val="32"/>
        </w:rPr>
      </w:pPr>
      <w:r>
        <w:rPr>
          <w:rFonts w:hint="eastAsia" w:hAnsi="楷体_GB2312" w:cs="楷体_GB2312"/>
          <w:sz w:val="32"/>
          <w:szCs w:val="32"/>
          <w:lang w:val="en-US" w:eastAsia="zh-CN"/>
        </w:rPr>
        <w:t>2.</w:t>
      </w:r>
      <w:r>
        <w:rPr>
          <w:rFonts w:hint="eastAsia" w:hAnsi="楷体_GB2312" w:cs="楷体_GB2312"/>
          <w:sz w:val="32"/>
          <w:szCs w:val="32"/>
        </w:rPr>
        <w:t>研究生招生工作</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（1）多措并举强化宣传，切实提高生源质量</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采取“校-院-专业”三级联动的招生宣传策略，拓宽招生渠道并增强吸引力。通过举办招生宣讲直播、暑期精英夏令营、专业专题招生讲座以及在新媒体平台上精准投放招生广告等多维度宣传手段，全面铺开研究生招生宣传攻势。2024年暑期，特别策划并推出了“商大校长说”等21场高质量的研究生招生宣讲系列直播活动，吸引了超过139万人次的热烈关注，观看人数创历史新高。此外，积极推行本科教育与研究生教育的无缝衔接，通过策划“我与商大录取通知书的故事”“首届本硕博一体化直博生卓越风采展示”等一系列富有感染力的宣传活动，进一步增强了本校优秀学生留校攻读硕士及博士学位的意愿，为提升研究生生源质量打好基础。2024年硕士研究生报考人数为15046人，录取</w:t>
      </w:r>
      <w:r>
        <w:rPr>
          <w:rFonts w:hint="eastAsia" w:ascii="仿宋_GB2312" w:hAnsi="仿宋_GB2312" w:eastAsia="仿宋_GB2312" w:cs="仿宋_GB2312"/>
          <w:b w:val="0"/>
          <w:bCs/>
          <w:color w:val="auto"/>
          <w:kern w:val="0"/>
          <w:sz w:val="32"/>
          <w:szCs w:val="32"/>
          <w:highlight w:val="none"/>
          <w:lang w:val="en-US" w:eastAsia="zh-CN"/>
        </w:rPr>
        <w:t>人数为</w:t>
      </w:r>
      <w:r>
        <w:rPr>
          <w:rFonts w:hint="eastAsia" w:ascii="仿宋_GB2312" w:hAnsi="仿宋_GB2312" w:eastAsia="仿宋_GB2312" w:cs="仿宋_GB2312"/>
          <w:b w:val="0"/>
          <w:bCs/>
          <w:color w:val="auto"/>
          <w:kern w:val="0"/>
          <w:sz w:val="32"/>
          <w:szCs w:val="32"/>
          <w:highlight w:val="none"/>
        </w:rPr>
        <w:t>2737人，一志愿录取率达82%，位列省属高校前茅。2024年博士研究生报考人数为485人，录取</w:t>
      </w:r>
      <w:r>
        <w:rPr>
          <w:rFonts w:hint="eastAsia" w:ascii="仿宋_GB2312" w:hAnsi="仿宋_GB2312" w:eastAsia="仿宋_GB2312" w:cs="仿宋_GB2312"/>
          <w:b w:val="0"/>
          <w:bCs/>
          <w:color w:val="auto"/>
          <w:kern w:val="0"/>
          <w:sz w:val="32"/>
          <w:szCs w:val="32"/>
          <w:highlight w:val="none"/>
          <w:lang w:val="en-US" w:eastAsia="zh-CN"/>
        </w:rPr>
        <w:t>人数为</w:t>
      </w:r>
      <w:r>
        <w:rPr>
          <w:rFonts w:hint="eastAsia" w:ascii="仿宋_GB2312" w:hAnsi="仿宋_GB2312" w:eastAsia="仿宋_GB2312" w:cs="仿宋_GB2312"/>
          <w:b w:val="0"/>
          <w:bCs/>
          <w:color w:val="auto"/>
          <w:kern w:val="0"/>
          <w:sz w:val="32"/>
          <w:szCs w:val="32"/>
          <w:highlight w:val="none"/>
        </w:rPr>
        <w:t>155人，其中工商管理学、马克思主义理论等学科优质生源比例显著提升。</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（2）分类完善招生选拔机制，持续优化生源结构</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贯彻落实教育部关于加快推进学术型和专业型人才分类选拔的意见，优化硕士研究生招生复试方案，在专业学位研究生招生选拔中增加一定比例具有行业产业实践经验的专家参加复试（面试）专家组。以卓越工程师培养为牵引深化专业学位研究生教育改革，2024年专业学位招生中首次启动食品数字工程师、数据分析工程师、大数据管理工程师3个卓越工程师培养项目。持续优化《本硕博一体化人才培养计划本科生遴选方案》《硕博连读招生办法》，进一步提高直博生和硕博连读生招生比例，第二届本硕博一体化直博生招收20人。</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（3）优化自命题工作全流程，以数字化赋能招生工作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楷体_GB2312" w:cs="楷体_GB2312"/>
          <w:sz w:val="32"/>
          <w:szCs w:val="32"/>
        </w:rPr>
      </w:pPr>
      <w:r>
        <w:rPr>
          <w:rFonts w:hint="eastAsia" w:ascii="仿宋_GB2312" w:hAnsi="仿宋_GB2312" w:eastAsia="仿宋_GB2312" w:cs="仿宋_GB2312"/>
          <w:b w:val="0"/>
          <w:bCs/>
          <w:color w:val="auto"/>
          <w:kern w:val="0"/>
          <w:sz w:val="32"/>
          <w:szCs w:val="32"/>
          <w:highlight w:val="none"/>
        </w:rPr>
        <w:t>优化自命题工作机制，增加分管院长审查试卷、近三年试卷查重等环节，确保自命题试卷命题、审卷、印刷、寄发、回收、整理及评阅各环节监管无漏洞、工作无差错。</w:t>
      </w:r>
      <w:r>
        <w:rPr>
          <w:rFonts w:hint="eastAsia" w:ascii="仿宋_GB2312" w:hAnsi="仿宋_GB2312" w:eastAsia="仿宋_GB2312" w:cs="仿宋_GB2312"/>
          <w:b w:val="0"/>
          <w:bCs/>
          <w:color w:val="auto"/>
          <w:kern w:val="0"/>
          <w:sz w:val="32"/>
          <w:szCs w:val="32"/>
          <w:highlight w:val="none"/>
          <w:lang w:val="en-US" w:eastAsia="zh-CN"/>
        </w:rPr>
        <w:t>探索</w:t>
      </w:r>
      <w:r>
        <w:rPr>
          <w:rFonts w:hint="eastAsia" w:ascii="仿宋_GB2312" w:hAnsi="仿宋_GB2312" w:eastAsia="仿宋_GB2312" w:cs="仿宋_GB2312"/>
          <w:color w:val="auto"/>
          <w:sz w:val="32"/>
          <w:szCs w:val="32"/>
          <w:highlight w:val="none"/>
        </w:rPr>
        <w:t>建立研究生招生考试自命题网上阅卷系统，采用扫描识别技术，记忆教师阅卷界面，精准搜索试卷，精准完成复核，实现阅卷全过程监测、数字化存档、成绩数据分析等，切实提高评卷效率和正确率，提升研究生考试命题质量，以数字化赋能招生管理工作。</w:t>
      </w:r>
    </w:p>
    <w:p>
      <w:pPr>
        <w:pStyle w:val="17"/>
        <w:spacing w:line="560" w:lineRule="exact"/>
        <w:ind w:firstLine="640"/>
        <w:jc w:val="both"/>
        <w:rPr>
          <w:rFonts w:hAnsi="楷体_GB2312" w:cs="楷体_GB2312"/>
          <w:sz w:val="32"/>
          <w:szCs w:val="32"/>
        </w:rPr>
      </w:pPr>
      <w:r>
        <w:rPr>
          <w:rFonts w:hint="eastAsia" w:hAnsi="楷体_GB2312" w:cs="楷体_GB2312"/>
          <w:sz w:val="32"/>
          <w:szCs w:val="32"/>
        </w:rPr>
        <w:t>3.国际生招生工作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Regular" w:hAnsi="Times New Roman Regular" w:eastAsia="仿宋_GB2312" w:cs="Times New Roman Regular"/>
          <w:b w:val="0"/>
          <w:bCs w:val="0"/>
          <w:color w:val="auto"/>
          <w:sz w:val="32"/>
          <w:highlight w:val="none"/>
          <w:lang w:val="en-US" w:eastAsia="zh-CN"/>
        </w:rPr>
      </w:pPr>
      <w:r>
        <w:rPr>
          <w:rFonts w:hint="eastAsia" w:ascii="Times New Roman Regular" w:hAnsi="Times New Roman Regular" w:eastAsia="仿宋_GB2312" w:cs="Times New Roman Regular"/>
          <w:b w:val="0"/>
          <w:bCs w:val="0"/>
          <w:color w:val="auto"/>
          <w:sz w:val="32"/>
          <w:highlight w:val="none"/>
          <w:lang w:val="en-US" w:eastAsia="zh-CN"/>
        </w:rPr>
        <w:t>（1）擦亮优势专业</w:t>
      </w:r>
      <w:r>
        <w:rPr>
          <w:rFonts w:hint="eastAsia" w:ascii="Times New Roman Regular" w:hAnsi="Times New Roman Regular" w:eastAsia="仿宋_GB2312" w:cs="Times New Roman Regular"/>
          <w:b w:val="0"/>
          <w:bCs w:val="0"/>
          <w:i w:val="0"/>
          <w:iCs w:val="0"/>
          <w:caps w:val="0"/>
          <w:color w:val="auto"/>
          <w:spacing w:val="0"/>
          <w:sz w:val="32"/>
          <w:szCs w:val="24"/>
          <w:highlight w:val="none"/>
          <w:shd w:val="clear"/>
        </w:rPr>
        <w:t>招牌</w:t>
      </w:r>
      <w:r>
        <w:rPr>
          <w:rFonts w:hint="eastAsia" w:ascii="Times New Roman Regular" w:hAnsi="Times New Roman Regular" w:eastAsia="仿宋_GB2312" w:cs="Times New Roman Regular"/>
          <w:b w:val="0"/>
          <w:bCs w:val="0"/>
          <w:color w:val="auto"/>
          <w:sz w:val="32"/>
          <w:highlight w:val="none"/>
          <w:lang w:val="en-US" w:eastAsia="zh-CN"/>
        </w:rPr>
        <w:t>，持续扩大招生规模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sz w:val="32"/>
          <w:highlight w:val="none"/>
          <w:lang w:val="en-US" w:eastAsia="zh-CN"/>
        </w:rPr>
      </w:pPr>
      <w:r>
        <w:rPr>
          <w:rFonts w:hint="eastAsia" w:ascii="Times New Roman Regular" w:hAnsi="Times New Roman Regular" w:eastAsia="仿宋_GB2312" w:cs="Times New Roman Regular"/>
          <w:sz w:val="32"/>
          <w:highlight w:val="none"/>
          <w:lang w:val="en-US" w:eastAsia="zh-CN"/>
        </w:rPr>
        <w:t>在国际生招生工作中，聚焦高水平大学国际化建设总体目标，深入调研国际教育市场需求和学科发展趋势，结合学校优势学科资源，确定工商管理、电子商务、物流管理、旅游管理、国际贸易等前沿且具有跨文化应用潜力的重点招生专业。组建由国内外知名学者、行业专家构成的专业建设团队，精心设计课程体系；引入国际先进的教学理念和方法，增加实践教学比重，打造品牌专业。2024年，</w:t>
      </w:r>
      <w:r>
        <w:rPr>
          <w:rFonts w:hint="eastAsia" w:ascii="仿宋_GB2312" w:hAnsi="仿宋_GB2312" w:eastAsia="仿宋_GB2312" w:cs="仿宋_GB2312"/>
          <w:b w:val="0"/>
          <w:bCs w:val="0"/>
          <w:sz w:val="32"/>
          <w:szCs w:val="32"/>
          <w:highlight w:val="none"/>
          <w:lang w:val="en-US" w:eastAsia="zh-CN"/>
        </w:rPr>
        <w:t>学历生招生人数较</w:t>
      </w:r>
      <w:r>
        <w:rPr>
          <w:rFonts w:hint="eastAsia" w:ascii="Times New Roman Regular" w:hAnsi="Times New Roman Regular" w:eastAsia="仿宋_GB2312" w:cs="Times New Roman Regular"/>
          <w:sz w:val="32"/>
          <w:highlight w:val="none"/>
          <w:lang w:val="en-US" w:eastAsia="zh-CN"/>
        </w:rPr>
        <w:t>2023</w:t>
      </w:r>
      <w:r>
        <w:rPr>
          <w:rFonts w:hint="eastAsia" w:ascii="仿宋_GB2312" w:hAnsi="仿宋_GB2312" w:eastAsia="仿宋_GB2312" w:cs="仿宋_GB2312"/>
          <w:b w:val="0"/>
          <w:bCs w:val="0"/>
          <w:sz w:val="32"/>
          <w:szCs w:val="32"/>
          <w:highlight w:val="none"/>
          <w:lang w:val="en-US" w:eastAsia="zh-CN"/>
        </w:rPr>
        <w:t>年增长</w:t>
      </w:r>
      <w:r>
        <w:rPr>
          <w:rFonts w:hint="eastAsia" w:ascii="Times New Roman Regular" w:hAnsi="Times New Roman Regular" w:eastAsia="仿宋_GB2312" w:cs="Times New Roman Regular"/>
          <w:sz w:val="32"/>
          <w:highlight w:val="none"/>
          <w:lang w:val="en-US" w:eastAsia="zh-CN"/>
        </w:rPr>
        <w:t>69%</w:t>
      </w:r>
      <w:r>
        <w:rPr>
          <w:rFonts w:hint="eastAsia" w:ascii="仿宋_GB2312" w:hAnsi="仿宋_GB2312" w:eastAsia="仿宋_GB2312" w:cs="仿宋_GB2312"/>
          <w:b w:val="0"/>
          <w:bCs w:val="0"/>
          <w:sz w:val="32"/>
          <w:szCs w:val="32"/>
          <w:highlight w:val="none"/>
          <w:lang w:val="en-US" w:eastAsia="zh-CN"/>
        </w:rPr>
        <w:t>，实现了学历生招生的大幅提升。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Regular" w:hAnsi="Times New Roman Regular" w:eastAsia="仿宋_GB2312" w:cs="Times New Roman Regular"/>
          <w:b w:val="0"/>
          <w:bCs w:val="0"/>
          <w:color w:val="auto"/>
          <w:sz w:val="32"/>
          <w:highlight w:val="none"/>
          <w:lang w:val="en-US" w:eastAsia="zh-CN"/>
        </w:rPr>
      </w:pPr>
      <w:r>
        <w:rPr>
          <w:rFonts w:hint="eastAsia" w:ascii="Times New Roman Regular" w:hAnsi="Times New Roman Regular" w:eastAsia="仿宋_GB2312" w:cs="Times New Roman Regular"/>
          <w:b w:val="0"/>
          <w:bCs w:val="0"/>
          <w:color w:val="auto"/>
          <w:sz w:val="32"/>
          <w:highlight w:val="none"/>
          <w:lang w:val="en-US" w:eastAsia="zh-CN"/>
        </w:rPr>
        <w:t>（2）</w:t>
      </w:r>
      <w:r>
        <w:rPr>
          <w:rFonts w:hint="eastAsia" w:ascii="Times New Roman Regular" w:hAnsi="Times New Roman Regular" w:eastAsia="仿宋_GB2312" w:cs="Times New Roman Regular"/>
          <w:b w:val="0"/>
          <w:bCs w:val="0"/>
          <w:i w:val="0"/>
          <w:iCs w:val="0"/>
          <w:caps w:val="0"/>
          <w:color w:val="auto"/>
          <w:spacing w:val="0"/>
          <w:sz w:val="32"/>
          <w:szCs w:val="24"/>
          <w:highlight w:val="none"/>
          <w:shd w:val="clear"/>
          <w:lang w:val="en-US" w:eastAsia="zh-CN"/>
        </w:rPr>
        <w:t>拓展</w:t>
      </w:r>
      <w:r>
        <w:rPr>
          <w:rStyle w:val="11"/>
          <w:rFonts w:hint="eastAsia" w:ascii="Times New Roman Regular" w:hAnsi="Times New Roman Regular" w:eastAsia="仿宋_GB2312" w:cs="Times New Roman Regular"/>
          <w:b w:val="0"/>
          <w:bCs w:val="0"/>
          <w:i w:val="0"/>
          <w:iCs w:val="0"/>
          <w:caps w:val="0"/>
          <w:spacing w:val="0"/>
          <w:sz w:val="32"/>
          <w:szCs w:val="24"/>
          <w:highlight w:val="none"/>
          <w:shd w:val="clear" w:fill="FFFFFF"/>
        </w:rPr>
        <w:t>多元宣传</w:t>
      </w:r>
      <w:r>
        <w:rPr>
          <w:rFonts w:hint="eastAsia" w:ascii="Times New Roman Regular" w:hAnsi="Times New Roman Regular" w:eastAsia="仿宋_GB2312" w:cs="Times New Roman Regular"/>
          <w:b w:val="0"/>
          <w:bCs w:val="0"/>
          <w:i w:val="0"/>
          <w:iCs w:val="0"/>
          <w:caps w:val="0"/>
          <w:color w:val="auto"/>
          <w:spacing w:val="0"/>
          <w:sz w:val="32"/>
          <w:szCs w:val="24"/>
          <w:highlight w:val="none"/>
          <w:shd w:val="clear"/>
          <w:lang w:val="en-US" w:eastAsia="zh-CN"/>
        </w:rPr>
        <w:t>路径</w:t>
      </w:r>
      <w:r>
        <w:rPr>
          <w:rFonts w:hint="eastAsia" w:ascii="Times New Roman Regular" w:hAnsi="Times New Roman Regular" w:eastAsia="仿宋_GB2312" w:cs="Times New Roman Regular"/>
          <w:b w:val="0"/>
          <w:bCs w:val="0"/>
          <w:color w:val="auto"/>
          <w:sz w:val="32"/>
          <w:highlight w:val="none"/>
          <w:lang w:val="en-US" w:eastAsia="zh-CN"/>
        </w:rPr>
        <w:t>，汇聚优质国际生源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楷体_GB2312" w:eastAsia="仿宋_GB2312" w:cs="楷体_GB2312"/>
          <w:b w:val="0"/>
          <w:bCs/>
          <w:color w:val="auto"/>
          <w:sz w:val="32"/>
          <w:lang w:val="en-US" w:eastAsia="zh-CN"/>
        </w:rPr>
      </w:pPr>
      <w:r>
        <w:rPr>
          <w:rFonts w:hint="eastAsia" w:ascii="仿宋_GB2312" w:hAnsi="仿宋_GB2312" w:eastAsia="仿宋_GB2312" w:cs="仿宋_GB2312"/>
          <w:sz w:val="32"/>
          <w:szCs w:val="32"/>
          <w:highlight w:val="none"/>
          <w:lang w:val="en-US" w:eastAsia="zh-CN"/>
        </w:rPr>
        <w:t>高度重视国际学生招生宣传，从响应国家“一带一路”倡议和服务学校高水平大学建设出发，进一步加强在“一带一路”沿线国家和地区的宣传力度和招生合作。参加</w:t>
      </w:r>
      <w:r>
        <w:rPr>
          <w:rFonts w:hint="eastAsia" w:ascii="仿宋_GB2312" w:hAnsi="仿宋_GB2312" w:eastAsia="仿宋_GB2312" w:cs="仿宋_GB2312"/>
          <w:b w:val="0"/>
          <w:bCs w:val="0"/>
          <w:sz w:val="32"/>
          <w:szCs w:val="32"/>
          <w:highlight w:val="none"/>
          <w:lang w:val="en-US" w:eastAsia="zh-CN"/>
        </w:rPr>
        <w:t>阿联酋、俄罗斯国际教育展，马来西亚、印度尼西亚来华留学境外教育展，第25届中国国际教育年会，留学中国预科教育联盟暨“一带一路”人才培养校企联盟年会，以及印度尼西亚来华留学教育线上宣讲会，</w:t>
      </w:r>
      <w:r>
        <w:rPr>
          <w:rFonts w:hint="eastAsia" w:ascii="仿宋_GB2312" w:hAnsi="仿宋_GB2312" w:eastAsia="仿宋_GB2312" w:cs="仿宋_GB2312"/>
          <w:sz w:val="32"/>
          <w:szCs w:val="32"/>
          <w:highlight w:val="none"/>
          <w:lang w:val="en-US" w:eastAsia="zh-CN"/>
        </w:rPr>
        <w:t>提高了我校的海内外知名度、拓展了俄罗斯和东南亚的优质生源圈。为进一步提升美国、欧洲等发达国家学生来华交流规模，借助中国教育国际交流协会YES项目平台及官方网站加大宣传力度，全方位凸显“选商大，赢未来”品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（3）开展“国际暑校”项目，</w:t>
      </w:r>
      <w:r>
        <w:rPr>
          <w:rFonts w:hint="eastAsia" w:ascii="仿宋_GB2312" w:hAnsi="仿宋_GB2312" w:eastAsia="仿宋_GB2312" w:cs="仿宋_GB2312"/>
          <w:i w:val="0"/>
          <w:iCs w:val="0"/>
          <w:caps w:val="0"/>
          <w:spacing w:val="0"/>
          <w:sz w:val="32"/>
          <w:szCs w:val="32"/>
          <w:highlight w:val="none"/>
          <w:shd w:val="clear" w:fill="FFFFFF"/>
        </w:rPr>
        <w:t>铸强</w:t>
      </w:r>
      <w:r>
        <w:rPr>
          <w:rFonts w:hint="eastAsia" w:ascii="仿宋_GB2312" w:hAnsi="仿宋_GB2312" w:eastAsia="仿宋_GB2312" w:cs="仿宋_GB2312"/>
          <w:b w:val="0"/>
          <w:bCs w:val="0"/>
          <w:color w:val="auto"/>
          <w:sz w:val="32"/>
          <w:szCs w:val="32"/>
          <w:highlight w:val="none"/>
          <w:lang w:val="en-US" w:eastAsia="zh-CN"/>
        </w:rPr>
        <w:t>“留学商大”品牌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lang w:val="en-US" w:eastAsia="zh-Hans"/>
        </w:rPr>
        <w:t>为吸引世界各国优秀青年来华参加短期科研学习交流活动，</w:t>
      </w:r>
      <w:r>
        <w:rPr>
          <w:rFonts w:hint="eastAsia" w:ascii="仿宋_GB2312" w:hAnsi="仿宋_GB2312" w:eastAsia="仿宋_GB2312" w:cs="仿宋_GB2312"/>
          <w:sz w:val="32"/>
          <w:szCs w:val="32"/>
          <w:highlight w:val="none"/>
          <w:lang w:val="en-US" w:eastAsia="zh-CN"/>
        </w:rPr>
        <w:t>我校积极</w:t>
      </w:r>
      <w:r>
        <w:rPr>
          <w:rFonts w:hint="eastAsia" w:ascii="仿宋_GB2312" w:hAnsi="仿宋_GB2312" w:eastAsia="仿宋_GB2312" w:cs="仿宋_GB2312"/>
          <w:sz w:val="32"/>
          <w:szCs w:val="32"/>
          <w:highlight w:val="none"/>
          <w:lang w:val="en-US" w:eastAsia="zh-Hans"/>
        </w:rPr>
        <w:t>开展“留学中国·国际暑期学校”项目</w:t>
      </w:r>
      <w:r>
        <w:rPr>
          <w:rFonts w:hint="eastAsia" w:ascii="仿宋_GB2312" w:hAnsi="仿宋_GB2312" w:eastAsia="仿宋_GB2312" w:cs="仿宋_GB2312"/>
          <w:sz w:val="32"/>
          <w:szCs w:val="32"/>
          <w:highlight w:val="none"/>
          <w:lang w:val="en-US" w:eastAsia="zh-CN"/>
        </w:rPr>
        <w:t>。通过宣传与推广，形成多维度宣传矩阵，今年国际暑校的学生来自英国、比利时、德国、意大利、俄罗斯、阿尔及利亚、印度尼西亚、泰国、老挝等多个国家，为进一步扩大我校在发达国家、中等发达国家及“一带一路”沿线国家的招生奠定了基础。学校通过暑期学校不同项目的精准定位，提升了国际化程度和学术氛围，推进了项目的有效实施，促进了我校与相关海外院校的合作，很多学员表示日后愿意来校继续深造。</w:t>
      </w:r>
    </w:p>
    <w:p>
      <w:pPr>
        <w:pStyle w:val="17"/>
        <w:numPr>
          <w:ilvl w:val="0"/>
          <w:numId w:val="0"/>
        </w:numPr>
        <w:spacing w:line="560" w:lineRule="exact"/>
        <w:ind w:firstLine="643" w:firstLineChars="200"/>
        <w:jc w:val="both"/>
        <w:rPr>
          <w:rFonts w:hAnsi="楷体_GB2312" w:cs="楷体_GB2312"/>
          <w:sz w:val="32"/>
          <w:szCs w:val="32"/>
        </w:rPr>
      </w:pPr>
      <w:r>
        <w:rPr>
          <w:rFonts w:hint="eastAsia" w:ascii="楷体_GB2312" w:hAnsi="楷体_GB2312" w:eastAsia="楷体_GB2312" w:cs="楷体_GB2312"/>
          <w:b/>
          <w:kern w:val="2"/>
          <w:sz w:val="32"/>
          <w:szCs w:val="32"/>
          <w:lang w:val="en-US" w:eastAsia="zh-CN" w:bidi="ar-SA"/>
        </w:rPr>
        <w:t>（二）</w:t>
      </w:r>
      <w:r>
        <w:rPr>
          <w:rFonts w:hint="eastAsia" w:hAnsi="楷体_GB2312" w:cs="楷体_GB2312"/>
          <w:sz w:val="32"/>
          <w:szCs w:val="32"/>
        </w:rPr>
        <w:t>就业工作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1.强化责任，优化协同，完善校院联动的工作机制</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贯彻落实毕业生就业工作“一把手工程”。学校进一步提高政治站位，充分认识就业工作的重要性、紧迫性，贯彻落实“一把手”工程，不断增强做好毕业生就业工作的责任感、使命感和紧迫感。实施就业工作目标责任制和工作保障机制，形成“领导主抓、处室统筹、院系为主、全员参与”的就业工作机制，工作实效性不断增强。针对2024届毕业生就业工作，召开全校就业工作推进会，围绕毕业生就业、毕业生跟踪调查、就业工作总结交流等议题，动员、部署、推进、落实就业工作，解决就业工作中的实际困难。实施“每周一次就业通报、每月一次就业工作交流、每学期一次就业调研”的动态管理制度，实时跟踪监测毕业生就业状况。出台《毕业生就业工作先进集体、先进个人评选办法（试行)的通知》，强化目标导向和过程管理。</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优化协同推进毕业生就业的工作机制。凝聚全员合力，持续推进就业工作的多部门联动。就业过程中，校友办、学生处、教务处、计财处、保卫处、团委、后勤服务中心等部门与招就处密切配合，发挥自身优势，提供优质服务，积极为毕业生就业创造良好条件。发挥朋辈促就业品牌优势，加强“就业领跑员”队伍建设，在2024届毕业生中推选161名已就业学生，为同学提供就业信息、就业内推、就业帮扶等就业引领活动。以产学研紧密结合为依托，以培养实践能力和创新能力为核心，2024年聘请校外导师22人，与36家企业结成战略合作伙伴，通过招聘、宣讲、讲座、指导等方式提供专业化指导，促进企业需求侧和教育供给侧要素全方位融合。</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引导毕业生服务国家战略与地方发展。不断强化学生的理想信念教育和思想价值引领，激发学生的报国志向、学术志趣，以国家战略需求为导向，以服务地方经济建设为主线，主动对接“一带一路”建设，积极主办“一带一路”2024年冬季线上联合双选会；与海南省、江西省、苏州市、湖州市、龙游县等多地组织部、人社局开展人才招引工作。以加强择业价值观教育为核心，通过政策宣讲、典型宣传、校友风采展示等多种方式，引导毕业生将个人职业发展与服务国家和社会需求紧密结合，与新时代同向同行。进一步完善基层项目的长效机制，做好基层就业项目的宣传发动、遴选推荐、后续服务等工作。2024年继续挖掘宣传就业创业先进典型，发挥榜样示范引领作用，推选58名“红船领航 奋斗青春”就业典型人物案例。2024届毕业生中，49人考取浙江省县乡机关选调生，35人参加国家、地方基层项目，2人应征义务兵。选拔33名在校生挂职白杨街道社区书记助理，奔赴社区一线参与基层治理。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2.整合资源，专业指导，激发主动就业的内生动力</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构建多层次的生涯教育体系。经过多年实践，学校形成以课程建设为基础，以师资队伍建设为依托，以实践活动为抓手的生涯教育体系。打造校院两级联动、学生和校友互动、课堂教学与实习实践互促的多元教育资源支持体系。完善全覆盖、分层次、有侧重的职业生涯规划和就业指导课程体系。基于院系专业特色，根据不同年级、不同学生群体特点，开展梯次化、模块化、精细化的课程教授、团体辅导和个体咨询，形成了课程、咨询、辅导、赛事“四位一体”的生涯指导网络。2024年举办各类生涯活动310余场，覆盖22000 余人次，举办第十八届“彩虹杯”大学生职业规划大赛，共计9378人参赛。</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培育专业化的指导师资队伍。学校坚持教师队伍的专业化建设，严格执行新任教师准入制度、听课制度、集体备课制度、期末考评制度，持续推进生涯规划与就业指导教师提升计划。通过开展集体备课、课题研究、师资培训、工作研讨和业务交流，不断提高师资队伍的专业化水平和指导能力。按照梯次递进的方式开展师资培训，实现教师队伍的专家化、职业化。引导教师将课程设计与学科专业、行业动态发展、综合素质提升等内容相融合，实现对学生的精准指导。2024年我校职业规划与就业指导专兼职教师队伍52人，全年共开展师资培训 21人次，为进一步提高我校生涯规划与就业指导课程教学水平筑牢坚实基础。</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打造品牌化的生涯实践活动。根据不同年级、不同专业的发展特点和需求，开展形式多样的职业生涯实践活动，打造生涯活动品牌，提升学生职场适应力。2024年继续开展“职面未来”就业服务集结号系列活动，累计开展“简历面试工作坊”、“职来职往”实习精英挑战赛等活动310余场次。组织“浙江名企行”职场体验系列活动，组织走访双枪科技、斐乐服饰等20余家单位。举办“职引未来 筑梦商大”大学生生涯嘉年华活动，吸引1600余人次参加。有针对性地开展“公务员之路”“留学沙龙”“考研工作坊”等各类活动50多场次，参与学生1400余人次，为学生提供多样的职业成长路径。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3.多方联动，创新手段，探索战略导向的就业市场</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拓展高质量就业市场。积极适应国家经济结构转型和人才供需变化，以人才输送为契机，横向拓宽与各地政府的联系、纵向延伸与各大行业优质企业的合作，搭建高质量的双向赋能平台。2024年，学校承办浙江省数字经济类专场招聘，与海南省、江西省、湖州市等地签订人才工作合作协议；邀请重点行业优质用人单位来校招聘，邀请苏州、嘉兴、绍兴、湖州等地市区到校组团招聘；主动推荐毕业生，组织学生参加杭州各区、互联网大会等人才对接会；积极发掘校友资源，举办校友企业专场招聘会，邀请校友企业参加各类就业活动。</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推进院校两级招聘市场。学校积极开拓毕业生就业市场，多措并举探索市场开拓新方式，进一步推动、完善学校与学院两级市场开发渠道，形成“大型双选会”“组团招聘会”“专场招聘会”“学院招聘会”相结合的院校两级招聘模式。各学院发挥专业优势，加强与行业、企业合作，组织行业、专业招聘会。2024年全校组织各类线下招聘会42场，组织宣讲会300多场，全年到校招聘企业2600多家，累计提供岗位超过13万个。</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丰富多元网上就业市场。依托智慧就业网，实现招聘服务、就业管理的自助化，形成学校、用人单位和学生的网络对接，提高就业服务与管理工作效率。截至2024年12月底，系统注册企业累计达11652家，新增702家，累计发布招聘信息3000余条，提供就业岗位14余万个。构建由校园就业网、就业微信平台、就业工作QQ群、各学院毕业生就业群、手机短信平台等组成的多渠道、广覆盖的信息发布网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4.规范管理，深化服务，提升高效精准的服务水平</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深度强化就业指导。实施个性化生涯咨询与辅导计划，兼顾广度和深度，用心用情做好就业指导。面对新形势，以多种方式帮助学生挖掘自身优势，积极应对职业选择和求职过程中的困惑和难题，助力每一位学生成长成才。继续推进精准化深度对接，为每一位有需求的同学提供“三个一”就业指导活动，即修改一次简历，推荐一次匹配度较高的职位，开展一次“模拟面试”“求职训练营”和“职业生涯工作坊”等。建设职业生涯咨询特色工作室，搭建网上咨询平台，每月安排16名校内外导师为学生提供线上线下指导服务。在招聘会现场邀请校内外专家、企业导师、朋辈导师为求职学生提供指导。引入职业测评工具，帮助学生更好地了解自身职业兴趣。</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提升就业服务体验。不断探索创新就业工作方式，充分利用数字化手段，打造就业一体化数字服务平台，推动就业服务提质增效。专业、地域、求职意向等指标，实现就业信息的精准推送和学生个性化定制；学校定期进行毕业生生源上报、就业方案填报、档案寄送等业务培训，提升就业工作人员的胜任力；全面摸清经济困难、就业困难、自主创业等群体的情况，进行分类指导；实时跟踪离校未就业毕业生的求职动态，提供岗位推荐、政策宣传等服务；充分利用学校就业网、微信、QQ等信息化手段，提供职业发展、就业信息、就业指导、政策解读、在线咨询等服务。</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助力特殊群体就业。学校秉持“全面摸排、重点关注、专业指导、精细服务”的工作理念，坚持以学生成长为中心，“一生一档”“一生一策”，既解决思想问题，也解决实际问题，对学业困难、家庭经济困难、就业焦虑的毕业生精准施策。建立就业困难毕业生档案，调动和发挥辅导员、班主任、专业教师、导师、校友等资源在毕业生就业关怀中的积极作用。2024年，开展“阳光学子，浙商大助你上职场”就业推荐活动，推荐21名重点毕业生100%就业；组织19名毕业生参加宏志助航计划就业能力培训；为387名家庭困难毕业生办理求职创业补贴，共计发放补贴116.1万元。对未就业的同学落实主动联系一次，提供辅导一次，向用人单位推荐一次的要求，有效促进毕业生重点群体的就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 创新育人思路，落实人才培养实效</w:t>
      </w:r>
    </w:p>
    <w:p>
      <w:pPr>
        <w:tabs>
          <w:tab w:val="left" w:pos="1440"/>
          <w:tab w:val="center" w:pos="7076"/>
        </w:tabs>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加强与属地公安机关、出入境等部门的沟通协作，2024年5月，成功组织了第二届“浙江工商大学来华留学生实习与就业招聘会”，为企业输送了众多优秀国际人才，有力推动了中资企业海外发展战略布局。通过为留学生提供更加优质丰富的实习实践机会，持续做大国际化人才“蓄水池”；通过加强校企协同，构建校企命运共同体，助力“走出去”企业在全球的业务发展，形成“引企入校，助企出圈”的良性生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keepNext/>
        <w:keepLines/>
        <w:pageBreakBefore w:val="0"/>
        <w:widowControl w:val="0"/>
        <w:kinsoku/>
        <w:wordWrap/>
        <w:overflowPunct/>
        <w:topLinePunct w:val="0"/>
        <w:autoSpaceDE/>
        <w:autoSpaceDN/>
        <w:bidi w:val="0"/>
        <w:adjustRightInd/>
        <w:snapToGrid w:val="0"/>
        <w:spacing w:before="0" w:after="0" w:afterLines="0" w:line="560" w:lineRule="exact"/>
        <w:ind w:firstLine="0"/>
        <w:textAlignment w:val="auto"/>
        <w:rPr>
          <w:rStyle w:val="19"/>
          <w:rFonts w:hint="eastAsia" w:ascii="方正小标宋简体" w:hAnsi="方正小标宋简体" w:eastAsia="方正小标宋简体" w:cs="方正小标宋简体"/>
          <w:b/>
          <w:bCs/>
          <w:sz w:val="44"/>
          <w:szCs w:val="44"/>
          <w:highlight w:val="none"/>
        </w:rPr>
      </w:pPr>
      <w:bookmarkStart w:id="7" w:name="_Toc166238692"/>
      <w:r>
        <w:rPr>
          <w:rStyle w:val="19"/>
          <w:rFonts w:hint="eastAsia" w:ascii="方正小标宋简体" w:hAnsi="方正小标宋简体" w:eastAsia="方正小标宋简体" w:cs="方正小标宋简体"/>
          <w:b/>
          <w:bCs/>
          <w:sz w:val="44"/>
          <w:szCs w:val="44"/>
          <w:highlight w:val="none"/>
        </w:rPr>
        <w:t>202</w:t>
      </w:r>
      <w:r>
        <w:rPr>
          <w:rStyle w:val="19"/>
          <w:rFonts w:hint="eastAsia" w:ascii="方正小标宋简体" w:hAnsi="方正小标宋简体" w:cs="方正小标宋简体"/>
          <w:b/>
          <w:bCs/>
          <w:sz w:val="44"/>
          <w:szCs w:val="44"/>
          <w:highlight w:val="none"/>
          <w:lang w:val="en-US" w:eastAsia="zh-CN"/>
        </w:rPr>
        <w:t>4</w:t>
      </w:r>
      <w:r>
        <w:rPr>
          <w:rStyle w:val="19"/>
          <w:rFonts w:hint="eastAsia" w:ascii="方正小标宋简体" w:hAnsi="方正小标宋简体" w:eastAsia="方正小标宋简体" w:cs="方正小标宋简体"/>
          <w:b/>
          <w:bCs/>
          <w:sz w:val="44"/>
          <w:szCs w:val="44"/>
          <w:highlight w:val="none"/>
        </w:rPr>
        <w:t>年继续教育学生招生工作情况公开报告</w:t>
      </w:r>
      <w:bookmarkEnd w:id="7"/>
    </w:p>
    <w:p>
      <w:pPr>
        <w:rPr>
          <w:rFonts w:hint="eastAsi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一、高等学历继续教育</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楷体" w:eastAsia="仿宋_GB2312" w:cs="楷体"/>
          <w:bCs/>
          <w:sz w:val="32"/>
          <w:szCs w:val="32"/>
        </w:rPr>
      </w:pPr>
      <w:r>
        <w:rPr>
          <w:rFonts w:hint="eastAsia" w:ascii="仿宋_GB2312" w:hAnsi="楷体" w:eastAsia="仿宋_GB2312" w:cs="楷体"/>
          <w:bCs/>
          <w:sz w:val="32"/>
          <w:szCs w:val="32"/>
        </w:rPr>
        <w:t>202</w:t>
      </w:r>
      <w:r>
        <w:rPr>
          <w:rFonts w:hint="eastAsia" w:ascii="仿宋_GB2312" w:hAnsi="楷体" w:eastAsia="仿宋_GB2312" w:cs="楷体"/>
          <w:bCs/>
          <w:sz w:val="32"/>
          <w:szCs w:val="32"/>
          <w:lang w:val="en-US" w:eastAsia="zh-CN"/>
        </w:rPr>
        <w:t>4</w:t>
      </w:r>
      <w:r>
        <w:rPr>
          <w:rFonts w:hint="eastAsia" w:ascii="仿宋_GB2312" w:hAnsi="楷体" w:eastAsia="仿宋_GB2312" w:cs="楷体"/>
          <w:bCs/>
          <w:sz w:val="32"/>
          <w:szCs w:val="32"/>
        </w:rPr>
        <w:t>年高等学历继续教育共设有17个专业和22个教学点（其中校内1个,省内各地市21个），有本科</w:t>
      </w:r>
      <w:r>
        <w:rPr>
          <w:rFonts w:hint="eastAsia" w:ascii="仿宋_GB2312" w:hAnsi="楷体" w:eastAsia="仿宋_GB2312" w:cs="楷体"/>
          <w:bCs/>
          <w:sz w:val="32"/>
          <w:szCs w:val="32"/>
          <w:lang w:val="en-US" w:eastAsia="zh-CN"/>
        </w:rPr>
        <w:t>在读</w:t>
      </w:r>
      <w:r>
        <w:rPr>
          <w:rFonts w:hint="eastAsia" w:ascii="仿宋_GB2312" w:hAnsi="楷体" w:eastAsia="仿宋_GB2312" w:cs="楷体"/>
          <w:bCs/>
          <w:sz w:val="32"/>
          <w:szCs w:val="32"/>
        </w:rPr>
        <w:t>学生28</w:t>
      </w:r>
      <w:r>
        <w:rPr>
          <w:rFonts w:hint="eastAsia" w:ascii="仿宋_GB2312" w:hAnsi="楷体" w:eastAsia="仿宋_GB2312" w:cs="楷体"/>
          <w:bCs/>
          <w:sz w:val="32"/>
          <w:szCs w:val="32"/>
          <w:lang w:val="en-US" w:eastAsia="zh-CN"/>
        </w:rPr>
        <w:t>474</w:t>
      </w:r>
      <w:r>
        <w:rPr>
          <w:rFonts w:hint="eastAsia" w:ascii="仿宋_GB2312" w:hAnsi="楷体" w:eastAsia="仿宋_GB2312" w:cs="楷体"/>
          <w:bCs/>
          <w:sz w:val="32"/>
          <w:szCs w:val="32"/>
        </w:rPr>
        <w:t>人</w:t>
      </w:r>
      <w:r>
        <w:rPr>
          <w:rFonts w:ascii="仿宋_GB2312" w:hAnsi="楷体" w:eastAsia="仿宋_GB2312" w:cs="楷体"/>
          <w:bCs/>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楷体" w:eastAsia="仿宋_GB2312" w:cs="楷体"/>
          <w:bCs/>
          <w:sz w:val="32"/>
          <w:szCs w:val="32"/>
        </w:rPr>
      </w:pPr>
      <w:r>
        <w:rPr>
          <w:rFonts w:hint="eastAsia" w:ascii="仿宋_GB2312" w:hAnsi="楷体" w:eastAsia="仿宋_GB2312" w:cs="楷体"/>
          <w:bCs/>
          <w:sz w:val="32"/>
          <w:szCs w:val="32"/>
        </w:rPr>
        <w:t>学院连续多年保持成考报考人数全省第一，202</w:t>
      </w:r>
      <w:r>
        <w:rPr>
          <w:rFonts w:hint="eastAsia" w:ascii="仿宋_GB2312" w:hAnsi="楷体" w:eastAsia="仿宋_GB2312" w:cs="楷体"/>
          <w:bCs/>
          <w:sz w:val="32"/>
          <w:szCs w:val="32"/>
          <w:lang w:val="en-US" w:eastAsia="zh-CN"/>
        </w:rPr>
        <w:t>4</w:t>
      </w:r>
      <w:r>
        <w:rPr>
          <w:rFonts w:hint="eastAsia" w:ascii="仿宋_GB2312" w:hAnsi="楷体" w:eastAsia="仿宋_GB2312" w:cs="楷体"/>
          <w:bCs/>
          <w:sz w:val="32"/>
          <w:szCs w:val="32"/>
        </w:rPr>
        <w:t>年共录取专升本层次新生</w:t>
      </w:r>
      <w:r>
        <w:rPr>
          <w:rFonts w:hint="eastAsia" w:ascii="仿宋_GB2312" w:hAnsi="楷体" w:eastAsia="仿宋_GB2312" w:cs="楷体"/>
          <w:bCs/>
          <w:sz w:val="32"/>
          <w:szCs w:val="32"/>
          <w:lang w:val="en-US" w:eastAsia="zh-CN"/>
        </w:rPr>
        <w:t>8360</w:t>
      </w:r>
      <w:r>
        <w:rPr>
          <w:rFonts w:hint="eastAsia" w:ascii="仿宋_GB2312" w:hAnsi="楷体" w:eastAsia="仿宋_GB2312" w:cs="楷体"/>
          <w:bCs/>
          <w:sz w:val="32"/>
          <w:szCs w:val="32"/>
        </w:rPr>
        <w:t>人，录取分数线创新高，17个专业平均高出省线41分，法学专业高69分。202</w:t>
      </w:r>
      <w:r>
        <w:rPr>
          <w:rFonts w:hint="eastAsia" w:ascii="仿宋_GB2312" w:hAnsi="楷体" w:eastAsia="仿宋_GB2312" w:cs="楷体"/>
          <w:bCs/>
          <w:sz w:val="32"/>
          <w:szCs w:val="32"/>
          <w:lang w:val="en-US" w:eastAsia="zh-CN"/>
        </w:rPr>
        <w:t>4</w:t>
      </w:r>
      <w:r>
        <w:rPr>
          <w:rFonts w:hint="eastAsia" w:ascii="仿宋_GB2312" w:hAnsi="楷体" w:eastAsia="仿宋_GB2312" w:cs="楷体"/>
          <w:bCs/>
          <w:sz w:val="32"/>
          <w:szCs w:val="32"/>
        </w:rPr>
        <w:t>届毕业学生8335人，其中本科毕业生8328人，专科毕业生7人；本科毕业生中有3544人被授予了学士学位</w:t>
      </w:r>
      <w:r>
        <w:rPr>
          <w:rFonts w:ascii="仿宋_GB2312" w:hAnsi="楷体" w:eastAsia="仿宋_GB2312" w:cs="楷体"/>
          <w:bCs/>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楷体" w:eastAsia="仿宋_GB2312" w:cs="楷体"/>
          <w:bCs/>
          <w:sz w:val="32"/>
          <w:szCs w:val="32"/>
        </w:rPr>
      </w:pPr>
      <w:r>
        <w:rPr>
          <w:rFonts w:hint="eastAsia" w:ascii="仿宋_GB2312" w:hAnsi="楷体" w:eastAsia="仿宋_GB2312" w:cs="楷体"/>
          <w:bCs/>
          <w:sz w:val="32"/>
          <w:szCs w:val="32"/>
        </w:rPr>
        <w:t>高等</w:t>
      </w:r>
      <w:r>
        <w:rPr>
          <w:rFonts w:ascii="仿宋_GB2312" w:hAnsi="楷体" w:eastAsia="仿宋_GB2312" w:cs="楷体"/>
          <w:bCs/>
          <w:sz w:val="32"/>
          <w:szCs w:val="32"/>
        </w:rPr>
        <w:t>学历</w:t>
      </w:r>
      <w:r>
        <w:rPr>
          <w:rFonts w:hint="eastAsia" w:ascii="仿宋_GB2312" w:hAnsi="楷体" w:eastAsia="仿宋_GB2312" w:cs="楷体"/>
          <w:bCs/>
          <w:sz w:val="32"/>
          <w:szCs w:val="32"/>
        </w:rPr>
        <w:t>继续教育</w:t>
      </w:r>
      <w:r>
        <w:rPr>
          <w:rFonts w:ascii="仿宋_GB2312" w:hAnsi="楷体" w:eastAsia="仿宋_GB2312" w:cs="楷体"/>
          <w:bCs/>
          <w:sz w:val="32"/>
          <w:szCs w:val="32"/>
        </w:rPr>
        <w:t>招生由继续教育学院根据社会发展需要</w:t>
      </w:r>
      <w:r>
        <w:rPr>
          <w:rFonts w:hint="eastAsia" w:ascii="仿宋_GB2312" w:hAnsi="楷体" w:eastAsia="仿宋_GB2312" w:cs="楷体"/>
          <w:bCs/>
          <w:sz w:val="32"/>
          <w:szCs w:val="32"/>
        </w:rPr>
        <w:t>，结合学校优势特色专业设置等情况，向省教育厅预报各专业招生计划；省</w:t>
      </w:r>
      <w:r>
        <w:rPr>
          <w:rFonts w:ascii="仿宋_GB2312" w:hAnsi="楷体" w:eastAsia="仿宋_GB2312" w:cs="楷体"/>
          <w:bCs/>
          <w:sz w:val="32"/>
          <w:szCs w:val="32"/>
        </w:rPr>
        <w:t>教育厅</w:t>
      </w:r>
      <w:r>
        <w:rPr>
          <w:rFonts w:hint="eastAsia" w:ascii="仿宋_GB2312" w:hAnsi="楷体" w:eastAsia="仿宋_GB2312" w:cs="楷体"/>
          <w:bCs/>
          <w:sz w:val="32"/>
          <w:szCs w:val="32"/>
        </w:rPr>
        <w:t>则根据考生报考及学校办学资源等情况下达</w:t>
      </w:r>
      <w:r>
        <w:rPr>
          <w:rFonts w:ascii="仿宋_GB2312" w:hAnsi="楷体" w:eastAsia="仿宋_GB2312" w:cs="楷体"/>
          <w:bCs/>
          <w:sz w:val="32"/>
          <w:szCs w:val="32"/>
        </w:rPr>
        <w:t>招生计划</w:t>
      </w:r>
      <w:r>
        <w:rPr>
          <w:rFonts w:hint="eastAsia" w:ascii="仿宋_GB2312" w:hAnsi="楷体" w:eastAsia="仿宋_GB2312" w:cs="楷体"/>
          <w:bCs/>
          <w:sz w:val="32"/>
          <w:szCs w:val="32"/>
        </w:rPr>
        <w:t>。学校高等学历继续教育的</w:t>
      </w:r>
      <w:r>
        <w:rPr>
          <w:rFonts w:ascii="仿宋_GB2312" w:hAnsi="楷体" w:eastAsia="仿宋_GB2312" w:cs="楷体"/>
          <w:bCs/>
          <w:sz w:val="32"/>
          <w:szCs w:val="32"/>
        </w:rPr>
        <w:t>招生简章</w:t>
      </w:r>
      <w:r>
        <w:rPr>
          <w:rFonts w:hint="eastAsia" w:ascii="仿宋_GB2312" w:hAnsi="楷体" w:eastAsia="仿宋_GB2312" w:cs="楷体"/>
          <w:bCs/>
          <w:sz w:val="32"/>
          <w:szCs w:val="32"/>
        </w:rPr>
        <w:t>、录取原则等</w:t>
      </w:r>
      <w:r>
        <w:rPr>
          <w:rFonts w:ascii="仿宋_GB2312" w:hAnsi="楷体" w:eastAsia="仿宋_GB2312" w:cs="楷体"/>
          <w:bCs/>
          <w:sz w:val="32"/>
          <w:szCs w:val="32"/>
        </w:rPr>
        <w:t>通过网站、</w:t>
      </w:r>
      <w:r>
        <w:rPr>
          <w:rFonts w:hint="eastAsia" w:ascii="仿宋_GB2312" w:hAnsi="楷体" w:eastAsia="仿宋_GB2312" w:cs="楷体"/>
          <w:bCs/>
          <w:sz w:val="32"/>
          <w:szCs w:val="32"/>
        </w:rPr>
        <w:t>校外教学</w:t>
      </w:r>
      <w:r>
        <w:rPr>
          <w:rFonts w:ascii="仿宋_GB2312" w:hAnsi="楷体" w:eastAsia="仿宋_GB2312" w:cs="楷体"/>
          <w:bCs/>
          <w:sz w:val="32"/>
          <w:szCs w:val="32"/>
        </w:rPr>
        <w:t>点、广告媒介等向社会</w:t>
      </w:r>
      <w:r>
        <w:rPr>
          <w:rFonts w:hint="eastAsia" w:ascii="仿宋_GB2312" w:hAnsi="楷体" w:eastAsia="仿宋_GB2312" w:cs="楷体"/>
          <w:bCs/>
          <w:sz w:val="32"/>
          <w:szCs w:val="32"/>
        </w:rPr>
        <w:t>公开；招生录取严格</w:t>
      </w:r>
      <w:r>
        <w:rPr>
          <w:rFonts w:ascii="仿宋_GB2312" w:hAnsi="楷体" w:eastAsia="仿宋_GB2312" w:cs="楷体"/>
          <w:bCs/>
          <w:sz w:val="32"/>
          <w:szCs w:val="32"/>
        </w:rPr>
        <w:t>按照省教育考试院的规定</w:t>
      </w:r>
      <w:r>
        <w:rPr>
          <w:rFonts w:hint="eastAsia" w:ascii="仿宋_GB2312" w:hAnsi="楷体" w:eastAsia="仿宋_GB2312" w:cs="楷体"/>
          <w:bCs/>
          <w:sz w:val="32"/>
          <w:szCs w:val="32"/>
        </w:rPr>
        <w:t>在</w:t>
      </w:r>
      <w:r>
        <w:rPr>
          <w:rFonts w:ascii="仿宋_GB2312" w:hAnsi="楷体" w:eastAsia="仿宋_GB2312" w:cs="楷体"/>
          <w:bCs/>
          <w:sz w:val="32"/>
          <w:szCs w:val="32"/>
        </w:rPr>
        <w:t>网上</w:t>
      </w:r>
      <w:r>
        <w:rPr>
          <w:rFonts w:hint="eastAsia" w:ascii="仿宋_GB2312" w:hAnsi="楷体" w:eastAsia="仿宋_GB2312" w:cs="楷体"/>
          <w:bCs/>
          <w:sz w:val="32"/>
          <w:szCs w:val="32"/>
        </w:rPr>
        <w:t>进行；录取结果</w:t>
      </w:r>
      <w:r>
        <w:rPr>
          <w:rFonts w:ascii="仿宋_GB2312" w:hAnsi="楷体" w:eastAsia="仿宋_GB2312" w:cs="楷体"/>
          <w:bCs/>
          <w:sz w:val="32"/>
          <w:szCs w:val="32"/>
        </w:rPr>
        <w:t>通过</w:t>
      </w:r>
      <w:r>
        <w:rPr>
          <w:rFonts w:hint="eastAsia" w:ascii="仿宋_GB2312" w:hAnsi="楷体" w:eastAsia="仿宋_GB2312" w:cs="楷体"/>
          <w:bCs/>
          <w:sz w:val="32"/>
          <w:szCs w:val="32"/>
        </w:rPr>
        <w:t>继续教育学院网站及有关社会媒体依法及时公布</w:t>
      </w:r>
      <w:r>
        <w:rPr>
          <w:rFonts w:ascii="仿宋_GB2312" w:hAnsi="楷体" w:eastAsia="仿宋_GB2312" w:cs="楷体"/>
          <w:bCs/>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 w:eastAsia="仿宋_GB2312" w:cs="楷体"/>
          <w:bCs/>
          <w:sz w:val="32"/>
          <w:szCs w:val="32"/>
        </w:rPr>
      </w:pPr>
      <w:r>
        <w:rPr>
          <w:rFonts w:hint="eastAsia" w:ascii="仿宋_GB2312" w:hAnsi="楷体" w:eastAsia="仿宋_GB2312" w:cs="楷体"/>
          <w:bCs/>
          <w:sz w:val="32"/>
          <w:szCs w:val="32"/>
        </w:rPr>
        <w:t>学校参加浙江省</w:t>
      </w:r>
      <w:r>
        <w:rPr>
          <w:rFonts w:hint="eastAsia" w:ascii="仿宋_GB2312" w:hAnsi="楷体" w:eastAsia="仿宋_GB2312" w:cs="楷体"/>
          <w:bCs/>
          <w:sz w:val="32"/>
          <w:szCs w:val="32"/>
          <w:lang w:eastAsia="zh-CN"/>
        </w:rPr>
        <w:t>、</w:t>
      </w:r>
      <w:r>
        <w:rPr>
          <w:rFonts w:hint="eastAsia" w:ascii="仿宋_GB2312" w:hAnsi="楷体" w:eastAsia="仿宋_GB2312" w:cs="楷体"/>
          <w:bCs/>
          <w:sz w:val="32"/>
          <w:szCs w:val="32"/>
        </w:rPr>
        <w:t>杭州市</w:t>
      </w:r>
      <w:r>
        <w:rPr>
          <w:rFonts w:hint="eastAsia" w:ascii="仿宋_GB2312" w:hAnsi="楷体" w:eastAsia="仿宋_GB2312" w:cs="楷体"/>
          <w:bCs/>
          <w:sz w:val="32"/>
          <w:szCs w:val="32"/>
          <w:lang w:val="en-US" w:eastAsia="zh-CN"/>
        </w:rPr>
        <w:t>和西湖区</w:t>
      </w:r>
      <w:r>
        <w:rPr>
          <w:rFonts w:hint="eastAsia" w:ascii="仿宋_GB2312" w:hAnsi="楷体" w:eastAsia="仿宋_GB2312" w:cs="楷体"/>
          <w:bCs/>
          <w:sz w:val="32"/>
          <w:szCs w:val="32"/>
        </w:rPr>
        <w:t>总工会资助优秀外来务工</w:t>
      </w:r>
      <w:r>
        <w:rPr>
          <w:rFonts w:hint="eastAsia" w:ascii="仿宋_GB2312" w:hAnsi="楷体" w:eastAsia="仿宋_GB2312" w:cs="楷体"/>
          <w:bCs/>
          <w:sz w:val="32"/>
          <w:szCs w:val="32"/>
          <w:lang w:val="en-US" w:eastAsia="zh-CN"/>
        </w:rPr>
        <w:t>等特定人员</w:t>
      </w:r>
      <w:r>
        <w:rPr>
          <w:rFonts w:hint="eastAsia" w:ascii="仿宋_GB2312" w:hAnsi="楷体" w:eastAsia="仿宋_GB2312" w:cs="楷体"/>
          <w:bCs/>
          <w:sz w:val="32"/>
          <w:szCs w:val="32"/>
        </w:rPr>
        <w:t>上大学活动，为</w:t>
      </w:r>
      <w:r>
        <w:rPr>
          <w:rFonts w:hint="eastAsia" w:ascii="仿宋_GB2312" w:hAnsi="楷体" w:eastAsia="仿宋_GB2312" w:cs="楷体"/>
          <w:bCs/>
          <w:sz w:val="32"/>
          <w:szCs w:val="32"/>
          <w:lang w:val="en-US" w:eastAsia="zh-CN"/>
        </w:rPr>
        <w:t>其</w:t>
      </w:r>
      <w:r>
        <w:rPr>
          <w:rFonts w:hint="eastAsia" w:ascii="仿宋_GB2312" w:hAnsi="楷体" w:eastAsia="仿宋_GB2312" w:cs="楷体"/>
          <w:bCs/>
          <w:sz w:val="32"/>
          <w:szCs w:val="32"/>
        </w:rPr>
        <w:t>成长成才提供有效载体。</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bCs/>
          <w:color w:val="FF0000"/>
          <w:sz w:val="32"/>
          <w:szCs w:val="32"/>
        </w:rPr>
      </w:pPr>
      <w:r>
        <w:rPr>
          <w:rFonts w:hint="eastAsia" w:ascii="黑体" w:hAnsi="黑体" w:eastAsia="黑体" w:cs="黑体"/>
          <w:bCs/>
          <w:sz w:val="32"/>
          <w:szCs w:val="32"/>
        </w:rPr>
        <w:t>二、高等教育自学考试助学工作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楷体" w:eastAsia="仿宋_GB2312" w:cs="楷体"/>
          <w:bCs/>
          <w:sz w:val="32"/>
          <w:szCs w:val="32"/>
        </w:rPr>
      </w:pPr>
      <w:r>
        <w:rPr>
          <w:rFonts w:hint="eastAsia" w:ascii="仿宋_GB2312" w:hAnsi="楷体" w:eastAsia="仿宋_GB2312" w:cs="楷体"/>
          <w:bCs/>
          <w:sz w:val="32"/>
          <w:szCs w:val="32"/>
        </w:rPr>
        <w:t>202</w:t>
      </w:r>
      <w:r>
        <w:rPr>
          <w:rFonts w:hint="eastAsia" w:ascii="仿宋_GB2312" w:hAnsi="楷体" w:eastAsia="仿宋_GB2312" w:cs="楷体"/>
          <w:bCs/>
          <w:sz w:val="32"/>
          <w:szCs w:val="32"/>
          <w:lang w:val="en-US" w:eastAsia="zh-CN"/>
        </w:rPr>
        <w:t>4</w:t>
      </w:r>
      <w:r>
        <w:rPr>
          <w:rFonts w:hint="eastAsia" w:ascii="仿宋_GB2312" w:hAnsi="楷体" w:eastAsia="仿宋_GB2312" w:cs="楷体"/>
          <w:bCs/>
          <w:sz w:val="32"/>
          <w:szCs w:val="32"/>
        </w:rPr>
        <w:t>年，共开设高等教育自学考试全日制和业余助学专业</w:t>
      </w:r>
      <w:r>
        <w:rPr>
          <w:rFonts w:hint="eastAsia" w:ascii="仿宋_GB2312" w:hAnsi="楷体" w:eastAsia="仿宋_GB2312" w:cs="楷体"/>
          <w:bCs/>
          <w:sz w:val="32"/>
          <w:szCs w:val="32"/>
          <w:lang w:val="en-US" w:eastAsia="zh-CN"/>
        </w:rPr>
        <w:t>4</w:t>
      </w:r>
      <w:r>
        <w:rPr>
          <w:rFonts w:hint="eastAsia" w:ascii="仿宋_GB2312" w:hAnsi="楷体" w:eastAsia="仿宋_GB2312" w:cs="楷体"/>
          <w:bCs/>
          <w:sz w:val="32"/>
          <w:szCs w:val="32"/>
        </w:rPr>
        <w:t>个，</w:t>
      </w:r>
      <w:r>
        <w:rPr>
          <w:rFonts w:hint="eastAsia" w:ascii="仿宋_GB2312" w:hAnsi="楷体" w:eastAsia="仿宋_GB2312" w:cs="楷体"/>
          <w:bCs/>
          <w:color w:val="auto"/>
          <w:sz w:val="32"/>
          <w:szCs w:val="32"/>
        </w:rPr>
        <w:t>招收新生</w:t>
      </w:r>
      <w:r>
        <w:rPr>
          <w:rFonts w:hint="eastAsia" w:ascii="仿宋_GB2312" w:hAnsi="楷体" w:eastAsia="仿宋_GB2312" w:cs="楷体"/>
          <w:bCs/>
          <w:color w:val="auto"/>
          <w:sz w:val="32"/>
          <w:szCs w:val="32"/>
          <w:lang w:val="en-US" w:eastAsia="zh-CN"/>
        </w:rPr>
        <w:t>355</w:t>
      </w:r>
      <w:r>
        <w:rPr>
          <w:rFonts w:hint="eastAsia" w:ascii="仿宋_GB2312" w:hAnsi="楷体" w:eastAsia="仿宋_GB2312" w:cs="楷体"/>
          <w:bCs/>
          <w:color w:val="auto"/>
          <w:sz w:val="32"/>
          <w:szCs w:val="32"/>
        </w:rPr>
        <w:t>人，其中全日制助学班</w:t>
      </w:r>
      <w:r>
        <w:rPr>
          <w:rFonts w:hint="eastAsia" w:ascii="仿宋_GB2312" w:hAnsi="楷体" w:eastAsia="仿宋_GB2312" w:cs="楷体"/>
          <w:bCs/>
          <w:color w:val="auto"/>
          <w:sz w:val="32"/>
          <w:szCs w:val="32"/>
          <w:lang w:val="en-US" w:eastAsia="zh-CN"/>
        </w:rPr>
        <w:t>79</w:t>
      </w:r>
      <w:r>
        <w:rPr>
          <w:rFonts w:hint="eastAsia" w:ascii="仿宋_GB2312" w:hAnsi="楷体" w:eastAsia="仿宋_GB2312" w:cs="楷体"/>
          <w:bCs/>
          <w:color w:val="auto"/>
          <w:sz w:val="32"/>
          <w:szCs w:val="32"/>
        </w:rPr>
        <w:t>人，业余助学班27</w:t>
      </w:r>
      <w:r>
        <w:rPr>
          <w:rFonts w:hint="eastAsia" w:ascii="仿宋_GB2312" w:hAnsi="楷体" w:eastAsia="仿宋_GB2312" w:cs="楷体"/>
          <w:bCs/>
          <w:color w:val="auto"/>
          <w:sz w:val="32"/>
          <w:szCs w:val="32"/>
          <w:lang w:val="en-US" w:eastAsia="zh-CN"/>
        </w:rPr>
        <w:t>6</w:t>
      </w:r>
      <w:r>
        <w:rPr>
          <w:rFonts w:hint="eastAsia" w:ascii="仿宋_GB2312" w:hAnsi="楷体" w:eastAsia="仿宋_GB2312" w:cs="楷体"/>
          <w:bCs/>
          <w:color w:val="auto"/>
          <w:sz w:val="32"/>
          <w:szCs w:val="32"/>
        </w:rPr>
        <w:t>人</w:t>
      </w:r>
      <w:r>
        <w:rPr>
          <w:rFonts w:hint="eastAsia" w:ascii="仿宋_GB2312" w:hAnsi="楷体" w:eastAsia="仿宋_GB2312" w:cs="楷体"/>
          <w:bCs/>
          <w:color w:val="auto"/>
          <w:sz w:val="32"/>
          <w:szCs w:val="32"/>
          <w:lang w:eastAsia="zh-CN"/>
        </w:rPr>
        <w:t>。</w:t>
      </w:r>
      <w:r>
        <w:rPr>
          <w:rFonts w:hint="eastAsia" w:ascii="仿宋_GB2312" w:hAnsi="楷体" w:eastAsia="仿宋_GB2312" w:cs="楷体"/>
          <w:bCs/>
          <w:color w:val="auto"/>
          <w:sz w:val="32"/>
          <w:szCs w:val="32"/>
          <w:lang w:val="en-US" w:eastAsia="zh-CN"/>
        </w:rPr>
        <w:t>全日制自考在校学生总计275人</w:t>
      </w:r>
      <w:r>
        <w:rPr>
          <w:rFonts w:hint="eastAsia" w:ascii="仿宋_GB2312" w:hAnsi="楷体" w:eastAsia="仿宋_GB2312" w:cs="楷体"/>
          <w:bCs/>
          <w:sz w:val="32"/>
          <w:szCs w:val="32"/>
        </w:rPr>
        <w:t>。招生计划由继续教育学院根据学校办学资源向省教育考试院申报，经省教育考试院批准后实施；招生简章等招生宣传材料均报省教育考试院备案、审定后，通过学院网站、广告媒介、印发纸质材料等向社会公开。</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楷体" w:eastAsia="仿宋_GB2312" w:cs="楷体"/>
          <w:bCs/>
          <w:sz w:val="32"/>
          <w:szCs w:val="32"/>
        </w:rPr>
      </w:pPr>
      <w:r>
        <w:rPr>
          <w:rFonts w:hint="eastAsia" w:ascii="仿宋_GB2312" w:hAnsi="楷体" w:eastAsia="仿宋_GB2312" w:cs="楷体"/>
          <w:bCs/>
          <w:sz w:val="32"/>
          <w:szCs w:val="32"/>
        </w:rPr>
        <w:t>此外，受省高职院校、普通高校专升本扩招</w:t>
      </w:r>
      <w:r>
        <w:rPr>
          <w:rFonts w:hint="eastAsia" w:ascii="仿宋_GB2312" w:hAnsi="楷体" w:eastAsia="仿宋_GB2312" w:cs="楷体"/>
          <w:bCs/>
          <w:sz w:val="32"/>
          <w:szCs w:val="32"/>
          <w:lang w:val="en-US" w:eastAsia="zh-CN"/>
        </w:rPr>
        <w:t>和</w:t>
      </w:r>
      <w:r>
        <w:rPr>
          <w:rFonts w:hint="eastAsia" w:ascii="仿宋_GB2312" w:hAnsi="楷体" w:eastAsia="仿宋_GB2312" w:cs="楷体"/>
          <w:bCs/>
          <w:sz w:val="32"/>
          <w:szCs w:val="32"/>
          <w:lang w:eastAsia="zh-CN"/>
        </w:rPr>
        <w:t>新考试计划的实</w:t>
      </w:r>
      <w:r>
        <w:rPr>
          <w:rFonts w:hint="eastAsia" w:ascii="仿宋_GB2312" w:hAnsi="楷体" w:eastAsia="仿宋_GB2312" w:cs="楷体"/>
          <w:bCs/>
          <w:color w:val="auto"/>
          <w:sz w:val="32"/>
          <w:szCs w:val="32"/>
          <w:lang w:eastAsia="zh-CN"/>
        </w:rPr>
        <w:t>施</w:t>
      </w:r>
      <w:r>
        <w:rPr>
          <w:rFonts w:hint="eastAsia" w:ascii="仿宋_GB2312" w:hAnsi="楷体" w:eastAsia="仿宋_GB2312" w:cs="楷体"/>
          <w:bCs/>
          <w:color w:val="auto"/>
          <w:sz w:val="32"/>
          <w:szCs w:val="32"/>
          <w:lang w:val="en-US" w:eastAsia="zh-CN"/>
        </w:rPr>
        <w:t>影响，</w:t>
      </w:r>
      <w:r>
        <w:rPr>
          <w:rFonts w:hint="eastAsia" w:ascii="仿宋_GB2312" w:hAnsi="楷体" w:eastAsia="仿宋_GB2312" w:cs="楷体"/>
          <w:bCs/>
          <w:sz w:val="32"/>
          <w:szCs w:val="32"/>
        </w:rPr>
        <w:t>自学考试“专本衔接”助学招生经受了极大的考验。学院启动“跑动”计划</w:t>
      </w:r>
      <w:r>
        <w:rPr>
          <w:rFonts w:hint="eastAsia" w:ascii="仿宋_GB2312" w:hAnsi="楷体" w:eastAsia="仿宋_GB2312" w:cs="楷体"/>
          <w:bCs/>
          <w:color w:val="auto"/>
          <w:sz w:val="32"/>
          <w:szCs w:val="32"/>
          <w:lang w:eastAsia="zh-CN"/>
        </w:rPr>
        <w:t>，</w:t>
      </w:r>
      <w:r>
        <w:rPr>
          <w:rFonts w:hint="eastAsia" w:ascii="仿宋_GB2312" w:hAnsi="楷体" w:eastAsia="仿宋_GB2312" w:cs="楷体"/>
          <w:bCs/>
          <w:color w:val="auto"/>
          <w:sz w:val="32"/>
          <w:szCs w:val="32"/>
        </w:rPr>
        <w:t>与合作院校共同制定发展路线</w:t>
      </w:r>
      <w:r>
        <w:rPr>
          <w:rFonts w:hint="eastAsia" w:ascii="仿宋_GB2312" w:hAnsi="楷体" w:eastAsia="仿宋_GB2312" w:cs="楷体"/>
          <w:bCs/>
          <w:color w:val="auto"/>
          <w:sz w:val="32"/>
          <w:szCs w:val="32"/>
          <w:lang w:eastAsia="zh-CN"/>
        </w:rPr>
        <w:t>，</w:t>
      </w:r>
      <w:r>
        <w:rPr>
          <w:rFonts w:hint="eastAsia" w:ascii="仿宋_GB2312" w:hAnsi="楷体" w:eastAsia="仿宋_GB2312" w:cs="楷体"/>
          <w:bCs/>
          <w:color w:val="auto"/>
          <w:sz w:val="32"/>
          <w:szCs w:val="32"/>
          <w:lang w:val="en-US" w:eastAsia="zh-CN"/>
        </w:rPr>
        <w:t>同时积极探索自学考试发展新机制</w:t>
      </w:r>
      <w:r>
        <w:rPr>
          <w:rFonts w:hint="eastAsia" w:ascii="仿宋_GB2312" w:hAnsi="楷体" w:eastAsia="仿宋_GB2312" w:cs="楷体"/>
          <w:bCs/>
          <w:color w:val="auto"/>
          <w:sz w:val="32"/>
          <w:szCs w:val="32"/>
          <w:lang w:eastAsia="zh-CN"/>
        </w:rPr>
        <w:t>。</w:t>
      </w:r>
      <w:r>
        <w:rPr>
          <w:rFonts w:hint="eastAsia" w:ascii="仿宋_GB2312" w:hAnsi="楷体" w:eastAsia="仿宋_GB2312" w:cs="楷体"/>
          <w:bCs/>
          <w:color w:val="auto"/>
          <w:sz w:val="32"/>
          <w:szCs w:val="32"/>
          <w:lang w:val="en-US" w:eastAsia="zh-CN"/>
        </w:rPr>
        <w:t>通过努力，</w:t>
      </w:r>
      <w:r>
        <w:rPr>
          <w:rFonts w:hint="eastAsia" w:ascii="仿宋_GB2312" w:hAnsi="楷体" w:eastAsia="仿宋_GB2312" w:cs="楷体"/>
          <w:bCs/>
          <w:color w:val="auto"/>
          <w:sz w:val="32"/>
          <w:szCs w:val="32"/>
        </w:rPr>
        <w:t>202</w:t>
      </w:r>
      <w:r>
        <w:rPr>
          <w:rFonts w:hint="eastAsia" w:ascii="仿宋_GB2312" w:hAnsi="楷体" w:eastAsia="仿宋_GB2312" w:cs="楷体"/>
          <w:bCs/>
          <w:color w:val="auto"/>
          <w:sz w:val="32"/>
          <w:szCs w:val="32"/>
          <w:lang w:val="en-US" w:eastAsia="zh-CN"/>
        </w:rPr>
        <w:t>4</w:t>
      </w:r>
      <w:r>
        <w:rPr>
          <w:rFonts w:hint="eastAsia" w:ascii="仿宋_GB2312" w:hAnsi="楷体" w:eastAsia="仿宋_GB2312" w:cs="楷体"/>
          <w:bCs/>
          <w:color w:val="auto"/>
          <w:sz w:val="32"/>
          <w:szCs w:val="32"/>
        </w:rPr>
        <w:t>年报读人数为</w:t>
      </w:r>
      <w:r>
        <w:rPr>
          <w:rFonts w:hint="eastAsia" w:ascii="仿宋_GB2312" w:hAnsi="楷体" w:eastAsia="仿宋_GB2312" w:cs="楷体"/>
          <w:bCs/>
          <w:color w:val="auto"/>
          <w:sz w:val="32"/>
          <w:szCs w:val="32"/>
          <w:lang w:val="en-US" w:eastAsia="zh-CN"/>
        </w:rPr>
        <w:t>1065</w:t>
      </w:r>
      <w:r>
        <w:rPr>
          <w:rFonts w:hint="eastAsia" w:ascii="仿宋_GB2312" w:hAnsi="楷体" w:eastAsia="仿宋_GB2312" w:cs="楷体"/>
          <w:bCs/>
          <w:color w:val="auto"/>
          <w:sz w:val="32"/>
          <w:szCs w:val="32"/>
        </w:rPr>
        <w:t>人</w:t>
      </w:r>
      <w:r>
        <w:rPr>
          <w:rFonts w:hint="eastAsia" w:ascii="仿宋_GB2312" w:hAnsi="楷体" w:eastAsia="仿宋_GB2312" w:cs="楷体"/>
          <w:bCs/>
          <w:color w:val="auto"/>
          <w:sz w:val="32"/>
          <w:szCs w:val="32"/>
          <w:lang w:eastAsia="zh-CN"/>
        </w:rPr>
        <w:t>，</w:t>
      </w:r>
      <w:r>
        <w:rPr>
          <w:rFonts w:hint="eastAsia" w:ascii="仿宋_GB2312" w:hAnsi="楷体" w:eastAsia="仿宋_GB2312" w:cs="楷体"/>
          <w:bCs/>
          <w:color w:val="auto"/>
          <w:sz w:val="32"/>
          <w:szCs w:val="32"/>
          <w:lang w:val="en-US" w:eastAsia="zh-CN"/>
        </w:rPr>
        <w:t>合作</w:t>
      </w:r>
      <w:r>
        <w:rPr>
          <w:rFonts w:hint="eastAsia" w:ascii="仿宋_GB2312" w:hAnsi="楷体" w:eastAsia="仿宋_GB2312" w:cs="楷体"/>
          <w:bCs/>
          <w:color w:val="auto"/>
          <w:sz w:val="32"/>
          <w:szCs w:val="32"/>
        </w:rPr>
        <w:t>高职（专科）院校1</w:t>
      </w:r>
      <w:r>
        <w:rPr>
          <w:rFonts w:hint="eastAsia" w:ascii="仿宋_GB2312" w:hAnsi="楷体" w:eastAsia="仿宋_GB2312" w:cs="楷体"/>
          <w:bCs/>
          <w:color w:val="auto"/>
          <w:sz w:val="32"/>
          <w:szCs w:val="32"/>
          <w:lang w:val="en-US" w:eastAsia="zh-CN"/>
        </w:rPr>
        <w:t>8</w:t>
      </w:r>
      <w:r>
        <w:rPr>
          <w:rFonts w:hint="eastAsia" w:ascii="仿宋_GB2312" w:hAnsi="楷体" w:eastAsia="仿宋_GB2312" w:cs="楷体"/>
          <w:bCs/>
          <w:color w:val="auto"/>
          <w:sz w:val="32"/>
          <w:szCs w:val="32"/>
        </w:rPr>
        <w:t>所，开设工商管理、行政管理、企业财务管理、旅游管理、电子商务等五个“专本衔接”助学专业，共有在读学生2447人。“专本衔</w:t>
      </w:r>
      <w:r>
        <w:rPr>
          <w:rFonts w:hint="eastAsia" w:ascii="仿宋_GB2312" w:hAnsi="楷体" w:eastAsia="仿宋_GB2312" w:cs="楷体"/>
          <w:bCs/>
          <w:sz w:val="32"/>
          <w:szCs w:val="32"/>
        </w:rPr>
        <w:t>接”助学招生简章经省教育考试院核准后对外公布，并发放至各合作院校，招生工作由学生所在院校负责，学生自愿参加。</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rPr>
        <w:t>三、</w:t>
      </w:r>
      <w:r>
        <w:rPr>
          <w:rFonts w:hint="eastAsia" w:ascii="黑体" w:hAnsi="黑体" w:eastAsia="黑体" w:cs="黑体"/>
          <w:bCs/>
          <w:sz w:val="32"/>
          <w:szCs w:val="32"/>
          <w:lang w:val="en-US" w:eastAsia="zh-CN"/>
        </w:rPr>
        <w:t>同等学历申请硕士学位</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sz w:val="32"/>
          <w:szCs w:val="32"/>
        </w:rPr>
      </w:pPr>
      <w:r>
        <w:rPr>
          <w:rFonts w:hint="eastAsia" w:ascii="仿宋_GB2312" w:hAnsi="楷体" w:eastAsia="仿宋_GB2312" w:cs="楷体"/>
          <w:bCs/>
          <w:color w:val="auto"/>
          <w:sz w:val="32"/>
          <w:szCs w:val="32"/>
          <w:lang w:eastAsia="zh-CN"/>
        </w:rPr>
        <w:t>2023年学校重启同等学力申请硕士学位课程培训项目，在研究生院的指导下，由继续教育学院与各学科性学院共同培养，覆盖企业管理、旅游管理、统计学等13</w:t>
      </w:r>
      <w:r>
        <w:rPr>
          <w:rFonts w:hint="eastAsia" w:ascii="仿宋_GB2312" w:hAnsi="楷体" w:eastAsia="仿宋_GB2312" w:cs="楷体"/>
          <w:bCs/>
          <w:color w:val="auto"/>
          <w:sz w:val="32"/>
          <w:szCs w:val="32"/>
          <w:lang w:val="en-US" w:eastAsia="zh-CN"/>
        </w:rPr>
        <w:t>个</w:t>
      </w:r>
      <w:r>
        <w:rPr>
          <w:rFonts w:hint="eastAsia" w:ascii="仿宋_GB2312" w:hAnsi="楷体" w:eastAsia="仿宋_GB2312" w:cs="楷体"/>
          <w:bCs/>
          <w:color w:val="auto"/>
          <w:sz w:val="32"/>
          <w:szCs w:val="32"/>
          <w:lang w:eastAsia="zh-CN"/>
        </w:rPr>
        <w:t>专业，2024年春季班和秋季班共招收600人。项目依托本校资深专任教师及业界知名专家授课，师资力量强大；课程内容融合理论与实践，强调综合素质与专业技能的双重培养；采用周末集中授课，线上与线下灵活教学的模式，有效缓解工学矛盾。项目注重学员管理与服务，不定期举办线下交流活动，增进学员间互动与合作，为个人职业发展增添更多机遇与优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非学历继续教育</w:t>
      </w:r>
    </w:p>
    <w:p>
      <w:pPr>
        <w:ind w:firstLine="640" w:firstLineChars="200"/>
        <w:jc w:val="both"/>
        <w:rPr>
          <w:rFonts w:hint="eastAsia" w:ascii="仿宋_GB2312" w:hAnsi="楷体" w:eastAsia="仿宋_GB2312" w:cs="楷体"/>
          <w:bCs/>
          <w:sz w:val="32"/>
          <w:szCs w:val="32"/>
        </w:rPr>
      </w:pPr>
      <w:r>
        <w:rPr>
          <w:rFonts w:hint="eastAsia" w:ascii="仿宋_GB2312" w:hAnsi="楷体" w:eastAsia="仿宋_GB2312" w:cs="楷体"/>
          <w:bCs/>
          <w:sz w:val="32"/>
          <w:szCs w:val="32"/>
        </w:rPr>
        <w:t>2024年，非学历继续教育</w:t>
      </w:r>
      <w:r>
        <w:rPr>
          <w:rFonts w:hint="eastAsia" w:ascii="仿宋_GB2312" w:hAnsi="楷体" w:eastAsia="仿宋_GB2312" w:cs="楷体"/>
          <w:bCs/>
          <w:sz w:val="32"/>
          <w:szCs w:val="32"/>
          <w:lang w:val="en-US" w:eastAsia="zh-CN"/>
        </w:rPr>
        <w:t>发展取</w:t>
      </w:r>
      <w:r>
        <w:rPr>
          <w:rFonts w:hint="eastAsia" w:ascii="仿宋_GB2312" w:hAnsi="楷体" w:eastAsia="仿宋_GB2312" w:cs="楷体"/>
          <w:bCs/>
          <w:sz w:val="32"/>
          <w:szCs w:val="32"/>
        </w:rPr>
        <w:t>得一定成效，通过精细化打造项目团队，营造培训生态环境新高地；稳固已有老项目，拓展培训新领域；建设终身教育服务体系，满足社会人员个性化需求；全面实现培训项目落地生根、多元开花。在经济下行压力加大</w:t>
      </w:r>
      <w:r>
        <w:rPr>
          <w:rFonts w:hint="eastAsia" w:ascii="仿宋_GB2312" w:hAnsi="楷体" w:eastAsia="仿宋_GB2312" w:cs="楷体"/>
          <w:bCs/>
          <w:sz w:val="32"/>
          <w:szCs w:val="32"/>
          <w:lang w:val="en-US" w:eastAsia="zh-CN"/>
        </w:rPr>
        <w:t>的背景</w:t>
      </w:r>
      <w:r>
        <w:rPr>
          <w:rFonts w:hint="eastAsia" w:ascii="仿宋_GB2312" w:hAnsi="楷体" w:eastAsia="仿宋_GB2312" w:cs="楷体"/>
          <w:bCs/>
          <w:sz w:val="32"/>
          <w:szCs w:val="32"/>
        </w:rPr>
        <w:t>下，培训合同额同比增长70%。学校依托省级专业技术人才继续教育培训基地开展各类非学历教育培训工作，为相关政府部门和企业举办了155期各类短期培训班，培训学员9158人次；成功举办了浙江省人社厅“金融促进高质量发展企业家能力”“‘415X</w:t>
      </w:r>
      <w:r>
        <w:rPr>
          <w:rFonts w:hint="eastAsia" w:ascii="仿宋_GB2312" w:hAnsi="楷体" w:eastAsia="仿宋_GB2312" w:cs="楷体"/>
          <w:bCs/>
          <w:sz w:val="32"/>
          <w:szCs w:val="32"/>
          <w:lang w:eastAsia="zh-CN"/>
        </w:rPr>
        <w:t>’</w:t>
      </w:r>
      <w:r>
        <w:rPr>
          <w:rFonts w:hint="eastAsia" w:ascii="仿宋_GB2312" w:hAnsi="楷体" w:eastAsia="仿宋_GB2312" w:cs="楷体"/>
          <w:bCs/>
          <w:sz w:val="32"/>
          <w:szCs w:val="32"/>
        </w:rPr>
        <w:t>先进制造集群引领生产性服务业高质量发展”高级研修班；举办浙江省中小学教师培训项目，共计29期，培训学员935人次；开设CFA、CPA等财会金融类职业资格证书课程班、雅思培训班等；完成11次7720人次的企业人力资源管理师、供应链管理师、人工智能训练师职业技能等级认定工作；首次开设夜校兴趣班，取得良好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楷体"/>
          <w:bCs/>
          <w:sz w:val="32"/>
          <w:szCs w:val="32"/>
        </w:rPr>
      </w:pPr>
      <w:r>
        <w:rPr>
          <w:rFonts w:hint="eastAsia" w:ascii="仿宋_GB2312" w:hAnsi="楷体" w:eastAsia="仿宋_GB2312" w:cs="楷体"/>
          <w:bCs/>
          <w:sz w:val="32"/>
          <w:szCs w:val="32"/>
        </w:rPr>
        <w:t>建立数字产业人才培养基地，开展数字产业人才培养工作，打造“综合素养+专业基础+核心技能+实习实训”四维一体人才培养模式，通过有效举措，确保项目高质量运营</w:t>
      </w:r>
      <w:r>
        <w:rPr>
          <w:rFonts w:hint="eastAsia" w:ascii="仿宋_GB2312" w:hAnsi="楷体" w:eastAsia="仿宋_GB2312" w:cs="楷体"/>
          <w:bCs/>
          <w:sz w:val="32"/>
          <w:szCs w:val="32"/>
          <w:lang w:eastAsia="zh-CN"/>
        </w:rPr>
        <w:t>。</w:t>
      </w:r>
      <w:r>
        <w:rPr>
          <w:rFonts w:hint="eastAsia" w:ascii="仿宋_GB2312" w:hAnsi="楷体" w:eastAsia="仿宋_GB2312" w:cs="楷体"/>
          <w:bCs/>
          <w:sz w:val="32"/>
          <w:szCs w:val="32"/>
          <w:lang w:val="en-US" w:eastAsia="zh-CN"/>
        </w:rPr>
        <w:t>2024年招收新生191人，</w:t>
      </w:r>
      <w:r>
        <w:rPr>
          <w:rFonts w:hint="eastAsia" w:ascii="仿宋_GB2312" w:hAnsi="楷体" w:eastAsia="仿宋_GB2312" w:cs="楷体"/>
          <w:bCs/>
          <w:sz w:val="32"/>
          <w:szCs w:val="32"/>
        </w:rPr>
        <w:t>现有在校生667名。</w:t>
      </w:r>
    </w:p>
    <w:p>
      <w:pPr>
        <w:rPr>
          <w:rFonts w:hint="eastAsia" w:ascii="仿宋_GB2312" w:hAnsi="楷体" w:eastAsia="仿宋_GB2312" w:cs="楷体"/>
          <w:bCs/>
          <w:sz w:val="32"/>
          <w:szCs w:val="32"/>
        </w:rPr>
      </w:pPr>
      <w:r>
        <w:rPr>
          <w:rFonts w:hint="eastAsia" w:ascii="仿宋_GB2312" w:hAnsi="楷体" w:eastAsia="仿宋_GB2312" w:cs="楷体"/>
          <w:bCs/>
          <w:sz w:val="32"/>
          <w:szCs w:val="32"/>
        </w:rPr>
        <w:br w:type="page"/>
      </w:r>
    </w:p>
    <w:p>
      <w:pPr>
        <w:pStyle w:val="2"/>
        <w:keepNext/>
        <w:keepLines/>
        <w:pageBreakBefore w:val="0"/>
        <w:widowControl w:val="0"/>
        <w:kinsoku/>
        <w:wordWrap/>
        <w:overflowPunct/>
        <w:topLinePunct w:val="0"/>
        <w:autoSpaceDE/>
        <w:autoSpaceDN/>
        <w:bidi w:val="0"/>
        <w:adjustRightInd/>
        <w:snapToGrid w:val="0"/>
        <w:spacing w:before="0" w:after="313" w:afterLines="100" w:line="560" w:lineRule="exact"/>
        <w:textAlignment w:val="auto"/>
        <w:rPr>
          <w:rFonts w:hint="eastAsia" w:ascii="方正小标宋简体" w:hAnsi="方正小标宋简体" w:eastAsia="方正小标宋简体" w:cs="方正小标宋简体"/>
          <w:b w:val="0"/>
          <w:bCs w:val="0"/>
        </w:rPr>
      </w:pPr>
      <w:bookmarkStart w:id="8" w:name="_Toc166238693"/>
      <w:r>
        <w:rPr>
          <w:rFonts w:hint="eastAsia" w:ascii="方正小标宋简体" w:hAnsi="方正小标宋简体" w:eastAsia="方正小标宋简体" w:cs="方正小标宋简体"/>
          <w:b w:val="0"/>
          <w:bCs w:val="0"/>
        </w:rPr>
        <w:t>202</w:t>
      </w:r>
      <w:r>
        <w:rPr>
          <w:rFonts w:hint="eastAsia" w:ascii="方正小标宋简体" w:hAnsi="方正小标宋简体" w:cs="方正小标宋简体"/>
          <w:b w:val="0"/>
          <w:bCs w:val="0"/>
          <w:lang w:val="en-US" w:eastAsia="zh-CN"/>
        </w:rPr>
        <w:t>4</w:t>
      </w:r>
      <w:r>
        <w:rPr>
          <w:rFonts w:hint="eastAsia" w:ascii="方正小标宋简体" w:hAnsi="方正小标宋简体" w:eastAsia="方正小标宋简体" w:cs="方正小标宋简体"/>
          <w:b w:val="0"/>
          <w:bCs w:val="0"/>
        </w:rPr>
        <w:t>年专业技术职务评审与评优活动工作公开报告</w:t>
      </w:r>
      <w:bookmarkEnd w:id="8"/>
    </w:p>
    <w:p>
      <w:pPr>
        <w:pStyle w:val="17"/>
        <w:ind w:firstLine="640"/>
        <w:jc w:val="both"/>
        <w:rPr>
          <w:rFonts w:ascii="黑体" w:hAnsi="黑体" w:eastAsia="黑体"/>
          <w:b w:val="0"/>
        </w:rPr>
      </w:pPr>
      <w:r>
        <w:rPr>
          <w:rFonts w:hint="eastAsia" w:ascii="黑体" w:hAnsi="黑体" w:eastAsia="黑体"/>
          <w:b w:val="0"/>
        </w:rPr>
        <w:t>一、基本情况</w:t>
      </w:r>
    </w:p>
    <w:p>
      <w:pPr>
        <w:spacing w:line="560" w:lineRule="exact"/>
        <w:ind w:firstLine="643" w:firstLineChars="200"/>
        <w:outlineLvl w:val="9"/>
        <w:rPr>
          <w:rFonts w:ascii="楷体_GB2312" w:eastAsia="楷体_GB2312"/>
          <w:b/>
          <w:bCs/>
          <w:sz w:val="32"/>
          <w:szCs w:val="32"/>
        </w:rPr>
      </w:pPr>
      <w:bookmarkStart w:id="9" w:name="_Toc5089728"/>
      <w:bookmarkStart w:id="10" w:name="_Toc30940"/>
      <w:bookmarkStart w:id="11" w:name="_Toc5262938"/>
      <w:bookmarkStart w:id="12" w:name="_Toc103345066"/>
      <w:bookmarkStart w:id="13" w:name="_Toc5262425"/>
      <w:bookmarkStart w:id="14" w:name="_Toc103343703"/>
      <w:r>
        <w:rPr>
          <w:rFonts w:hint="eastAsia" w:ascii="楷体_GB2312" w:eastAsia="楷体_GB2312"/>
          <w:b/>
          <w:bCs/>
          <w:sz w:val="32"/>
          <w:szCs w:val="32"/>
        </w:rPr>
        <w:t>（一）专业技术职务评聘的基本情况</w:t>
      </w:r>
      <w:bookmarkEnd w:id="9"/>
      <w:bookmarkEnd w:id="10"/>
      <w:bookmarkEnd w:id="11"/>
      <w:bookmarkEnd w:id="12"/>
      <w:bookmarkEnd w:id="13"/>
      <w:bookmarkEnd w:id="14"/>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1.晋升评聘。</w:t>
      </w:r>
      <w:r>
        <w:rPr>
          <w:rFonts w:hint="eastAsia" w:ascii="仿宋_GB2312" w:eastAsia="仿宋_GB2312"/>
          <w:color w:val="auto"/>
          <w:sz w:val="32"/>
          <w:szCs w:val="32"/>
          <w:lang w:val="en-US" w:eastAsia="zh-CN"/>
        </w:rPr>
        <w:t>2024年度</w:t>
      </w:r>
      <w:r>
        <w:rPr>
          <w:rFonts w:hint="eastAsia" w:ascii="仿宋_GB2312" w:eastAsia="仿宋_GB2312"/>
          <w:color w:val="auto"/>
          <w:sz w:val="32"/>
          <w:szCs w:val="32"/>
        </w:rPr>
        <w:t>我校专业技术职务评聘工作分上、下半年两次进行，上半年组织“绿色通道”评审，于2024年5月启动，7月底结束。下半年组织年度评审和第二次“绿色通道”评审，于2024年9月启动，12月底结束。</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2024年全年申报各系列高级专业技术职务人员共64人，经资格审查，符合专业技术职务评聘条件、代表性成果鉴定达到规定条件、经学院考核推荐的申报人员共56人，其中申报正高11人，副高45人。参加校评聘委员会评审共42人，参加校常设组织评审共14人。经学校专业技术职务评审委员会相应评审会议评审，实际聘任正高职务11人，副高职务45人（含转评5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2.专业技术职务初聘。20</w:t>
      </w:r>
      <w:r>
        <w:rPr>
          <w:rFonts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年，对博士、硕士等毕业符合条件的教师，初聘十级岗</w:t>
      </w:r>
      <w:r>
        <w:rPr>
          <w:rFonts w:hint="eastAsia" w:ascii="仿宋_GB2312" w:eastAsia="仿宋_GB2312"/>
          <w:color w:val="auto"/>
          <w:sz w:val="32"/>
          <w:szCs w:val="32"/>
          <w:lang w:val="en-US" w:eastAsia="zh-CN"/>
        </w:rPr>
        <w:t>55</w:t>
      </w:r>
      <w:r>
        <w:rPr>
          <w:rFonts w:hint="eastAsia" w:ascii="仿宋_GB2312" w:eastAsia="仿宋_GB2312"/>
          <w:color w:val="auto"/>
          <w:sz w:val="32"/>
          <w:szCs w:val="32"/>
        </w:rPr>
        <w:t>人，转评聘十级岗</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人。</w:t>
      </w:r>
    </w:p>
    <w:p>
      <w:pPr>
        <w:spacing w:line="560" w:lineRule="exact"/>
        <w:ind w:firstLine="643" w:firstLineChars="200"/>
        <w:outlineLvl w:val="9"/>
        <w:rPr>
          <w:rFonts w:ascii="楷体_GB2312" w:eastAsia="楷体_GB2312"/>
          <w:b/>
          <w:bCs/>
          <w:sz w:val="32"/>
          <w:szCs w:val="32"/>
        </w:rPr>
      </w:pPr>
      <w:bookmarkStart w:id="15" w:name="_Toc103345067"/>
      <w:bookmarkStart w:id="16" w:name="_Toc5262426"/>
      <w:bookmarkStart w:id="17" w:name="_Toc103343704"/>
      <w:bookmarkStart w:id="18" w:name="_Toc5089729"/>
      <w:bookmarkStart w:id="19" w:name="_Toc17590"/>
      <w:bookmarkStart w:id="20" w:name="_Toc5262939"/>
      <w:r>
        <w:rPr>
          <w:rFonts w:hint="eastAsia" w:ascii="楷体_GB2312" w:eastAsia="楷体_GB2312"/>
          <w:b/>
          <w:bCs/>
          <w:sz w:val="32"/>
          <w:szCs w:val="32"/>
        </w:rPr>
        <w:t>（二）</w:t>
      </w:r>
      <w:bookmarkEnd w:id="15"/>
      <w:bookmarkEnd w:id="16"/>
      <w:bookmarkEnd w:id="17"/>
      <w:bookmarkEnd w:id="18"/>
      <w:bookmarkEnd w:id="19"/>
      <w:bookmarkEnd w:id="20"/>
      <w:r>
        <w:rPr>
          <w:rFonts w:hint="eastAsia" w:ascii="楷体_GB2312" w:eastAsia="楷体_GB2312"/>
          <w:b/>
          <w:bCs/>
          <w:sz w:val="32"/>
          <w:szCs w:val="32"/>
          <w:lang w:val="en-US" w:eastAsia="zh-CN"/>
        </w:rPr>
        <w:t>荣誉称号推荐评选</w:t>
      </w:r>
      <w:r>
        <w:rPr>
          <w:rFonts w:hint="eastAsia" w:ascii="楷体_GB2312" w:eastAsia="楷体_GB2312"/>
          <w:b/>
          <w:bCs/>
          <w:sz w:val="32"/>
          <w:szCs w:val="32"/>
        </w:rPr>
        <w:t>的基本情况</w:t>
      </w:r>
    </w:p>
    <w:p>
      <w:pPr>
        <w:spacing w:after="312" w:afterLines="100"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年，人事</w:t>
      </w:r>
      <w:r>
        <w:rPr>
          <w:rFonts w:hint="eastAsia" w:ascii="仿宋_GB2312" w:eastAsia="仿宋_GB2312"/>
          <w:sz w:val="32"/>
          <w:szCs w:val="32"/>
          <w:highlight w:val="none"/>
        </w:rPr>
        <w:t>处、人才办、教</w:t>
      </w:r>
      <w:r>
        <w:rPr>
          <w:rFonts w:hint="eastAsia" w:ascii="仿宋_GB2312" w:eastAsia="仿宋_GB2312"/>
          <w:sz w:val="32"/>
          <w:szCs w:val="32"/>
        </w:rPr>
        <w:t>务处和工会组织的主要人才推优和荣誉申报项目工作情况如下：</w:t>
      </w:r>
    </w:p>
    <w:p>
      <w:pPr>
        <w:spacing w:after="312" w:afterLines="100" w:line="560" w:lineRule="exact"/>
        <w:ind w:firstLine="640" w:firstLineChars="200"/>
        <w:rPr>
          <w:rFonts w:hint="eastAsia" w:ascii="仿宋_GB2312" w:eastAsia="仿宋_GB2312"/>
          <w:sz w:val="32"/>
          <w:szCs w:val="32"/>
        </w:rPr>
      </w:pPr>
    </w:p>
    <w:p>
      <w:pPr>
        <w:spacing w:after="312" w:afterLines="100" w:line="560" w:lineRule="exact"/>
        <w:ind w:firstLine="640" w:firstLineChars="200"/>
        <w:rPr>
          <w:rFonts w:hint="eastAsia" w:ascii="仿宋_GB2312" w:eastAsia="仿宋_GB2312"/>
          <w:sz w:val="32"/>
          <w:szCs w:val="32"/>
        </w:rPr>
      </w:pPr>
    </w:p>
    <w:p>
      <w:pPr>
        <w:spacing w:after="312" w:afterLines="100" w:line="560" w:lineRule="exact"/>
        <w:ind w:firstLine="640" w:firstLineChars="200"/>
        <w:rPr>
          <w:rFonts w:hint="eastAsia" w:ascii="仿宋_GB2312" w:eastAsia="仿宋_GB2312"/>
          <w:sz w:val="32"/>
          <w:szCs w:val="32"/>
        </w:rPr>
      </w:pPr>
    </w:p>
    <w:tbl>
      <w:tblPr>
        <w:tblStyle w:val="10"/>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2166"/>
        <w:gridCol w:w="21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项目名称</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通知发布</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校内公示</w:t>
            </w:r>
          </w:p>
        </w:tc>
        <w:tc>
          <w:tcPr>
            <w:tcW w:w="2611"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入选人员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校优秀教师和优秀教育工作者</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202</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30</w:t>
            </w:r>
            <w:r>
              <w:rPr>
                <w:rFonts w:hint="eastAsia" w:ascii="仿宋_GB2312" w:hAnsi="仿宋_GB2312" w:eastAsia="仿宋_GB2312" w:cs="仿宋_GB2312"/>
                <w:sz w:val="24"/>
                <w:highlight w:val="none"/>
              </w:rPr>
              <w:t>日</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202</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27</w:t>
            </w:r>
            <w:r>
              <w:rPr>
                <w:rFonts w:hint="eastAsia" w:ascii="仿宋_GB2312" w:hAnsi="仿宋_GB2312" w:eastAsia="仿宋_GB2312" w:cs="仿宋_GB2312"/>
                <w:sz w:val="24"/>
                <w:highlight w:val="none"/>
              </w:rPr>
              <w:t>日</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方涧</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叶庆燕</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冯炜（艺术学院</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朱贺</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刘艳（马克思主义学院）</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刘惠君</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李进</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李蓉</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陈可先</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陈宜治</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陈斌</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邵俊</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周德</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董雪梅</w:t>
            </w:r>
            <w:r>
              <w:rPr>
                <w:rFonts w:hint="default"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谢诗蕾</w:t>
            </w:r>
            <w:r>
              <w:rPr>
                <w:rFonts w:hint="eastAsia" w:ascii="仿宋_GB2312" w:hAnsi="仿宋_GB2312" w:eastAsia="仿宋_GB2312" w:cs="仿宋_GB2312"/>
                <w:sz w:val="24"/>
                <w:lang w:val="en-US" w:eastAsia="zh-CN"/>
              </w:rPr>
              <w:t>（校优秀教师）</w:t>
            </w:r>
          </w:p>
          <w:p>
            <w:pPr>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szCs w:val="21"/>
              </w:rPr>
            </w:pPr>
            <w:r>
              <w:rPr>
                <w:rFonts w:hint="default" w:ascii="仿宋_GB2312" w:hAnsi="仿宋_GB2312" w:eastAsia="仿宋_GB2312" w:cs="仿宋_GB2312"/>
                <w:sz w:val="24"/>
                <w:lang w:val="en-US" w:eastAsia="zh-CN"/>
              </w:rPr>
              <w:t>王萧、方惠军、许郑晗、来征帆、林晓莹、周莹莹、周益、楼奇</w:t>
            </w:r>
            <w:r>
              <w:rPr>
                <w:rFonts w:hint="eastAsia" w:ascii="仿宋_GB2312" w:hAnsi="仿宋_GB2312" w:eastAsia="仿宋_GB2312" w:cs="仿宋_GB2312"/>
                <w:sz w:val="24"/>
                <w:lang w:val="en-US" w:eastAsia="zh-CN"/>
              </w:rPr>
              <w:t>（校优秀教育工作者）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8" w:hRule="atLeast"/>
        </w:trPr>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教学、教育工作满30年</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28</w:t>
            </w:r>
            <w:r>
              <w:rPr>
                <w:rFonts w:hint="eastAsia" w:ascii="仿宋_GB2312" w:hAnsi="仿宋_GB2312" w:eastAsia="仿宋_GB2312" w:cs="仿宋_GB2312"/>
                <w:sz w:val="24"/>
              </w:rPr>
              <w:t>日</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年6月</w:t>
            </w:r>
            <w:r>
              <w:rPr>
                <w:rFonts w:hint="eastAsia" w:ascii="仿宋_GB2312" w:hAnsi="仿宋_GB2312" w:eastAsia="仿宋_GB2312" w:cs="仿宋_GB2312"/>
                <w:sz w:val="24"/>
                <w:lang w:val="en-US" w:eastAsia="zh-CN"/>
              </w:rPr>
              <w:t>19</w:t>
            </w:r>
            <w:r>
              <w:rPr>
                <w:rFonts w:hint="eastAsia" w:ascii="仿宋_GB2312" w:hAnsi="仿宋_GB2312" w:eastAsia="仿宋_GB2312" w:cs="仿宋_GB2312"/>
                <w:sz w:val="24"/>
              </w:rPr>
              <w:t>日</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石敏敏、朱孟虎、朱朝晖、 沈东升、沈建国、沈铁鸣、张利、张爱军、陈枫、陈宜治、陈觉、茅力群、季昀、金锦华、周迈、周晓燕、郑小林、赵卫东、胡国柳、闻亚云、姜波（杭州商学院）、徐先力、徐麟文、章晓乐、蒋旻（管工学院）、蒋灏、傅培华</w:t>
            </w:r>
            <w:r>
              <w:rPr>
                <w:rFonts w:hint="eastAsia" w:ascii="仿宋_GB2312" w:hAnsi="仿宋_GB2312" w:eastAsia="仿宋_GB2312" w:cs="仿宋_GB2312"/>
                <w:sz w:val="24"/>
                <w:lang w:val="en-US" w:eastAsia="zh-CN"/>
              </w:rPr>
              <w:t>（教学工作满三十年）</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default" w:ascii="仿宋_GB2312" w:hAnsi="仿宋_GB2312" w:eastAsia="仿宋_GB2312" w:cs="仿宋_GB2312"/>
                <w:sz w:val="24"/>
                <w:lang w:val="en-US" w:eastAsia="zh-CN"/>
              </w:rPr>
              <w:t>叶彦莹、田中初、许育民、许剑良、陈春萍、周叶芹、周玲、徐丛丛、徐俊、鲍伟</w:t>
            </w:r>
            <w:r>
              <w:rPr>
                <w:rFonts w:hint="eastAsia" w:ascii="仿宋_GB2312" w:hAnsi="仿宋_GB2312" w:eastAsia="仿宋_GB2312" w:cs="仿宋_GB2312"/>
                <w:sz w:val="24"/>
                <w:lang w:val="en-US" w:eastAsia="zh-CN"/>
              </w:rPr>
              <w:t>（教育管理工作满三十年）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default" w:ascii="仿宋_GB2312" w:hAnsi="仿宋_GB2312" w:eastAsia="仿宋_GB2312" w:cs="仿宋_GB2312"/>
                <w:sz w:val="24"/>
              </w:rPr>
              <w:t>全国教育系统先进集体和先进个人</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根据遴选条件，定向推荐。</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19</w:t>
            </w:r>
            <w:r>
              <w:rPr>
                <w:rFonts w:hint="eastAsia" w:ascii="仿宋_GB2312" w:hAnsi="仿宋_GB2312" w:eastAsia="仿宋_GB2312" w:cs="仿宋_GB2312"/>
                <w:sz w:val="24"/>
              </w:rPr>
              <w:t>日</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工商管理学院（MBA学院）参评全国教育系统先进集体、陆丽青参评全国模范教师、张燕妮参评全国教育系统先进工作者。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default" w:ascii="仿宋_GB2312" w:hAnsi="仿宋_GB2312" w:eastAsia="仿宋_GB2312" w:cs="仿宋_GB2312"/>
                <w:sz w:val="24"/>
              </w:rPr>
              <w:t>全国最美教师候选人</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日</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日</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李梦云参评。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年国家公派出国留学项目</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月1日</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直接系统上报，国家留学基金委选拔</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李建强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年地方合作项目地方创新子项目</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年4月</w:t>
            </w:r>
            <w:r>
              <w:rPr>
                <w:rFonts w:hint="eastAsia" w:ascii="仿宋_GB2312" w:hAnsi="仿宋_GB2312" w:eastAsia="仿宋_GB2312" w:cs="仿宋_GB2312"/>
                <w:sz w:val="24"/>
                <w:lang w:val="en-US" w:eastAsia="zh-CN"/>
              </w:rPr>
              <w:t>23</w:t>
            </w:r>
            <w:r>
              <w:rPr>
                <w:rFonts w:hint="eastAsia" w:ascii="仿宋_GB2312" w:hAnsi="仿宋_GB2312" w:eastAsia="仿宋_GB2312" w:cs="仿宋_GB2312"/>
                <w:sz w:val="24"/>
              </w:rPr>
              <w:t>日</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直接系统上报，国家留学基金委选拔</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刘东升、廖长庚、邹园萍、甘志刚、包翠竹、杨玥熹、毛岳忠、郑振霄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年青年骨干教师出国研修项目</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日</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月1日</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向剑勤、庄壮、李俭、张雅娟、张璐茜、周德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bookmarkStart w:id="21" w:name="_Toc5089730"/>
            <w:r>
              <w:rPr>
                <w:rFonts w:hint="default" w:ascii="仿宋_GB2312" w:hAnsi="仿宋_GB2312" w:eastAsia="仿宋_GB2312" w:cs="仿宋_GB2312"/>
                <w:sz w:val="24"/>
                <w:lang w:val="en-US" w:eastAsia="zh-CN"/>
              </w:rPr>
              <w:t>2023年省</w:t>
            </w:r>
            <w:r>
              <w:rPr>
                <w:rFonts w:hint="eastAsia" w:ascii="仿宋_GB2312" w:hAnsi="仿宋_GB2312" w:eastAsia="仿宋_GB2312" w:cs="仿宋_GB2312"/>
                <w:sz w:val="24"/>
              </w:rPr>
              <w:t>高层次人才特殊支持计划</w:t>
            </w:r>
            <w:r>
              <w:rPr>
                <w:rFonts w:hint="eastAsia" w:ascii="仿宋_GB2312" w:hAnsi="仿宋_GB2312" w:eastAsia="仿宋_GB2312" w:cs="仿宋_GB2312"/>
                <w:sz w:val="24"/>
                <w:lang w:val="en-US" w:eastAsia="zh-CN"/>
              </w:rPr>
              <w:t>教学名师、教学英才</w:t>
            </w:r>
            <w:r>
              <w:rPr>
                <w:rFonts w:hint="eastAsia" w:ascii="仿宋_GB2312" w:hAnsi="仿宋_GB2312" w:eastAsia="仿宋_GB2312" w:cs="仿宋_GB2312"/>
                <w:sz w:val="24"/>
              </w:rPr>
              <w:t>项目</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教务处实施</w:t>
            </w:r>
            <w:r>
              <w:rPr>
                <w:rFonts w:hint="eastAsia" w:ascii="仿宋_GB2312" w:hAnsi="仿宋_GB2312" w:eastAsia="仿宋_GB2312" w:cs="仿宋_GB2312"/>
                <w:sz w:val="24"/>
                <w:lang w:eastAsia="zh-CN"/>
              </w:rPr>
              <w:t>）</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2023年10月19日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2023年10月25日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教学名师：向荣</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教学英才：岑杰</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（公布时间：2024年3月18日）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2023年省</w:t>
            </w:r>
            <w:r>
              <w:rPr>
                <w:rFonts w:hint="eastAsia" w:ascii="仿宋_GB2312" w:hAnsi="仿宋_GB2312" w:eastAsia="仿宋_GB2312" w:cs="仿宋_GB2312"/>
                <w:sz w:val="24"/>
              </w:rPr>
              <w:t>高层次人才特殊支持计划</w:t>
            </w:r>
            <w:r>
              <w:rPr>
                <w:rFonts w:hint="eastAsia" w:ascii="仿宋_GB2312" w:hAnsi="仿宋_GB2312" w:eastAsia="仿宋_GB2312" w:cs="仿宋_GB2312"/>
                <w:sz w:val="24"/>
                <w:lang w:val="en-US" w:eastAsia="zh-CN"/>
              </w:rPr>
              <w:t>科技创新</w:t>
            </w:r>
            <w:r>
              <w:rPr>
                <w:rFonts w:hint="eastAsia" w:ascii="仿宋_GB2312" w:hAnsi="仿宋_GB2312" w:eastAsia="仿宋_GB2312" w:cs="仿宋_GB2312"/>
                <w:sz w:val="24"/>
              </w:rPr>
              <w:t>领军人才项目</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2023年10月24日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2023年10月27日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省特支计划科技领军人才：李传煌</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（公布时间：2024年3月18日）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2023年省</w:t>
            </w:r>
            <w:r>
              <w:rPr>
                <w:rFonts w:hint="eastAsia" w:ascii="仿宋_GB2312" w:hAnsi="仿宋_GB2312" w:eastAsia="仿宋_GB2312" w:cs="仿宋_GB2312"/>
                <w:sz w:val="24"/>
              </w:rPr>
              <w:t>高层次人才特殊支持计划宣传文化领军人才、青年人才项目</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2023年10月24日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2023年10月27日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省特支计划宣传文化领军人才：高颖</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（公布时间：2024年3月18日）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2023年省高层次人才特殊支持计划青年人才项目（综合类）</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2023年11月09日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2023年11月10日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省特支计划</w:t>
            </w:r>
            <w:r>
              <w:rPr>
                <w:rFonts w:hint="eastAsia" w:ascii="仿宋_GB2312" w:hAnsi="仿宋_GB2312" w:eastAsia="仿宋_GB2312" w:cs="仿宋_GB2312"/>
                <w:sz w:val="24"/>
              </w:rPr>
              <w:t>青年人才（综合类）</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董建锋</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（公布时间：2024年3月18日）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2023年省海外引才计划相关人才项目（保密计划，不得挂网通知）</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省引计划外国专家：</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沈国威</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省引计划青年人才：</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刘昊玥</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（公布时间：2024年3月18日）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浙江工商大学第七届青年教师教学创新大赛</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2024年3月27日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2024年6月19日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特等奖：王海</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一等奖：赵李叶、虞春燕、裴雯熠</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二等奖：包翠竹、朱昊、张小琴、戚圣琦、韩佳润</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三等奖：王瞻、叶燕华、朱祉璨、项梦婧、姚凯波、侯瑞琪</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鼓励奖：丁预立、王文洁、王真、王倩逸、刘细涓、李祎、张岩冰、张雅斐、杨雪萍、傅恒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浙江省第四届高校教师教学创新大赛校赛</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2023年11月28日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2024年1月12日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一等奖：田敏、向荣、岑杰、吴欣、祖宇、洪金珠</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二等奖：曲道峰、朱祉璨、朱旭东、朱昊、陈跃文、顾玲艳、栾天虹、裴雯熠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浙江省第四届高校教师教学创新大赛</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2023年11月20日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2024年5月7日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一等奖;田敏</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二等奖：岑杰、祖宇、吴欣</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三等奖：向荣、洪金珠、李骏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浙江省高层次人才特殊支持计划教学名师</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涉密不发布通知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2024年11月27日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工商管理学院俞荣建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浙江省高层次人才特殊支持计划教学英才</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涉密不发布通知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2024年11月27日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外国语学院陈程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国家级教学名师</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涉密不发布通知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2024年3月14日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计算机科学与技术学院王勋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浙江省“十四五”第二批本科教学改革项目</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2024年11月26日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2024年12月12日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俞荣建、刘玮琳、朱继祥、赵英军、陶莺、陈钰芬、陈骥、曹丹、吴太贵、辛爽、谢诗蕾、芮义鹤、卢洪雨、吴遵义、江博琼、陈超、刘细涓、项益鸣、宋杰、李华金、郑竹逸、周德、杨惠兰、赵永健、柴可辅、蓝辉、赵李叶、夏秋冬、邓弋威、徐越倩、傅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全国三八红旗手</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2023年11月20日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2023年12月1日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傅玲琳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浙江省高校教职工文化金品牌</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2024年5月14日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2024年6月12日</w:t>
            </w: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后勤绿叶文化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2024年度浙江省教育工会名师创新工作室</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2024年10月29日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2024年11月4日</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邓弋威领衔的“出蓝潮声名师创新工作室”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校“三育人”先进个人</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2024年5月30日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2024年6月18日</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马文超、王文春、王秀萍、王祖梦、史瑶瑶、毕德亮、向荣、刘艳、 刘晓琴、刘敏、刘媛媛 、严小虎、李华金、李建伟、李渊、李婧怡、杨正宇、杨洁、杨晓蓉、肖春霞、吴素红、吴毓华、邱毅、汪美贞、沈骁婧、张巧智、张世月、张崇辉、陈祎翀、陈婵、邵俊、赵丹、赵泽人、郭虹宇、黄红华、崔久星、韩宁、傅鸿洲、温从儒、裘渔洋、鲍福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0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校“三育人”先进集体</w:t>
            </w:r>
          </w:p>
        </w:tc>
        <w:tc>
          <w:tcPr>
            <w:tcW w:w="21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2024年5月30日</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2024年6月18日</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p>
        </w:tc>
        <w:tc>
          <w:tcPr>
            <w:tcW w:w="26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外国语学院、旅游与城乡规划学院、艺术设计学院、计算机科学与技术学院、学生工作部、教务处  </w:t>
            </w:r>
          </w:p>
        </w:tc>
      </w:tr>
    </w:tbl>
    <w:p>
      <w:pPr>
        <w:pStyle w:val="17"/>
        <w:spacing w:before="312" w:beforeLines="100"/>
        <w:ind w:firstLine="641" w:firstLineChars="0"/>
        <w:jc w:val="both"/>
        <w:rPr>
          <w:rFonts w:ascii="黑体" w:hAnsi="黑体" w:eastAsia="黑体"/>
          <w:b w:val="0"/>
          <w:color w:val="auto"/>
        </w:rPr>
      </w:pPr>
      <w:r>
        <w:rPr>
          <w:rFonts w:hint="eastAsia" w:ascii="黑体" w:hAnsi="黑体" w:eastAsia="黑体"/>
          <w:b w:val="0"/>
          <w:color w:val="auto"/>
        </w:rPr>
        <w:t>二、工作举措</w:t>
      </w:r>
      <w:bookmarkEnd w:id="21"/>
    </w:p>
    <w:p>
      <w:pPr>
        <w:spacing w:line="56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（一）专业技术职务评聘工作的公开措施</w:t>
      </w:r>
    </w:p>
    <w:p>
      <w:pPr>
        <w:pStyle w:val="17"/>
        <w:ind w:firstLine="640"/>
        <w:jc w:val="both"/>
        <w:rPr>
          <w:rFonts w:ascii="仿宋_GB2312" w:hAnsi="Calibri" w:eastAsia="仿宋_GB2312" w:cs="Times New Roman"/>
          <w:b w:val="0"/>
          <w:color w:val="auto"/>
        </w:rPr>
      </w:pPr>
      <w:r>
        <w:rPr>
          <w:rFonts w:hint="eastAsia" w:ascii="仿宋_GB2312" w:hAnsi="Calibri" w:eastAsia="仿宋_GB2312" w:cs="Times New Roman"/>
          <w:b w:val="0"/>
          <w:color w:val="auto"/>
        </w:rPr>
        <w:t>1.公开发布文件，明确评聘政策。本年度专业技术职务评聘文件依据为《浙江工商大学专业技术职务评聘办法（试行）》（浙商大人〔2023〕147号）。</w:t>
      </w:r>
    </w:p>
    <w:p>
      <w:pPr>
        <w:pStyle w:val="17"/>
        <w:ind w:firstLine="640"/>
        <w:jc w:val="both"/>
        <w:rPr>
          <w:rFonts w:ascii="仿宋_GB2312" w:hAnsi="Calibri" w:eastAsia="仿宋_GB2312" w:cs="Times New Roman"/>
          <w:b w:val="0"/>
          <w:color w:val="auto"/>
        </w:rPr>
      </w:pPr>
      <w:r>
        <w:rPr>
          <w:rFonts w:hint="eastAsia" w:ascii="仿宋_GB2312" w:hAnsi="Calibri" w:eastAsia="仿宋_GB2312" w:cs="Times New Roman"/>
          <w:b w:val="0"/>
          <w:color w:val="auto"/>
        </w:rPr>
        <w:t>2.严把材料送审关，加大第三方机构送审力度。202</w:t>
      </w:r>
      <w:r>
        <w:rPr>
          <w:rFonts w:hint="eastAsia" w:ascii="仿宋_GB2312" w:hAnsi="Calibri" w:eastAsia="仿宋_GB2312" w:cs="Times New Roman"/>
          <w:b w:val="0"/>
          <w:color w:val="auto"/>
          <w:lang w:val="en-US" w:eastAsia="zh-CN"/>
        </w:rPr>
        <w:t>4</w:t>
      </w:r>
      <w:r>
        <w:rPr>
          <w:rFonts w:hint="eastAsia" w:ascii="仿宋_GB2312" w:hAnsi="Calibri" w:eastAsia="仿宋_GB2312" w:cs="Times New Roman"/>
          <w:b w:val="0"/>
          <w:color w:val="auto"/>
        </w:rPr>
        <w:t>年继续委托第三方机构评审。送审采取“双向匿名，随机匹配”原则，将申报人提交的3篇代表作送往</w:t>
      </w:r>
      <w:r>
        <w:rPr>
          <w:rFonts w:hint="eastAsia" w:ascii="仿宋_GB2312" w:hAnsi="Calibri" w:eastAsia="仿宋_GB2312" w:cs="Times New Roman"/>
          <w:b w:val="0"/>
          <w:color w:val="auto"/>
          <w:lang w:val="en-US" w:eastAsia="zh-CN"/>
        </w:rPr>
        <w:t>第三方平台</w:t>
      </w:r>
      <w:r>
        <w:rPr>
          <w:rFonts w:hint="eastAsia" w:ascii="仿宋_GB2312" w:hAnsi="Calibri" w:eastAsia="仿宋_GB2312" w:cs="Times New Roman"/>
          <w:b w:val="0"/>
          <w:color w:val="auto"/>
        </w:rPr>
        <w:t>专家数据库中随机配对的同行专家评审，其中申报正高级专业技术职务的须送10名同行专家评审，申报副高级专业技术职务的须送7名同行专家评审；专家在不受任何外部因素干扰情况下，对被评人出具完全独立的学术评价意见，专家对其所出具的专家意见书负责并签名。</w:t>
      </w:r>
    </w:p>
    <w:p>
      <w:pPr>
        <w:pStyle w:val="17"/>
        <w:ind w:firstLine="640"/>
        <w:jc w:val="both"/>
        <w:rPr>
          <w:rFonts w:hint="eastAsia" w:ascii="仿宋_GB2312" w:hAnsi="Calibri" w:eastAsia="仿宋_GB2312" w:cs="Times New Roman"/>
          <w:b w:val="0"/>
          <w:color w:val="auto"/>
        </w:rPr>
      </w:pPr>
      <w:r>
        <w:rPr>
          <w:rFonts w:hint="eastAsia" w:ascii="仿宋_GB2312" w:hAnsi="Calibri" w:eastAsia="仿宋_GB2312" w:cs="Times New Roman"/>
          <w:b w:val="0"/>
          <w:color w:val="auto"/>
        </w:rPr>
        <w:t>3.规范专业技术职务评聘工作流程。评聘工作坚持自主评聘、分类评价、评聘结合和公开公正、竞争择优的原则，按公布岗位、个人申报、资格初审、代表性成果鉴定、专业技术职务系统填报及资格审查、学院（部门）考核推荐、学科组评议、校专业技术职务评聘委员会评审等程序进行。绿色通道申报人员经过学院（部门）考核推荐之后，直接由学校常设组织进行评审，产生拟聘人员。</w:t>
      </w:r>
    </w:p>
    <w:p>
      <w:pPr>
        <w:pStyle w:val="17"/>
        <w:ind w:firstLine="640"/>
        <w:jc w:val="both"/>
        <w:rPr>
          <w:rFonts w:ascii="仿宋_GB2312" w:hAnsi="Calibri" w:eastAsia="仿宋_GB2312" w:cs="Times New Roman"/>
          <w:b w:val="0"/>
          <w:color w:val="auto"/>
        </w:rPr>
      </w:pPr>
      <w:r>
        <w:rPr>
          <w:rFonts w:hint="eastAsia" w:ascii="仿宋_GB2312" w:hAnsi="Calibri" w:eastAsia="仿宋_GB2312" w:cs="Times New Roman"/>
          <w:b w:val="0"/>
          <w:color w:val="auto"/>
        </w:rPr>
        <w:t>4.评审结果上报主管部门备案，校内发文，告知相关人员专业技术职务晋升情况。</w:t>
      </w:r>
    </w:p>
    <w:p>
      <w:pPr>
        <w:spacing w:line="56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（二）</w:t>
      </w:r>
      <w:r>
        <w:rPr>
          <w:rFonts w:hint="eastAsia" w:ascii="楷体_GB2312" w:eastAsia="楷体_GB2312"/>
          <w:b/>
          <w:bCs/>
          <w:color w:val="auto"/>
          <w:sz w:val="32"/>
          <w:szCs w:val="32"/>
          <w:lang w:val="en-US" w:eastAsia="zh-CN"/>
        </w:rPr>
        <w:t>荣誉称号推荐评选</w:t>
      </w:r>
      <w:r>
        <w:rPr>
          <w:rFonts w:hint="eastAsia" w:ascii="楷体_GB2312" w:eastAsia="楷体_GB2312"/>
          <w:b/>
          <w:bCs/>
          <w:color w:val="auto"/>
          <w:sz w:val="32"/>
          <w:szCs w:val="32"/>
        </w:rPr>
        <w:t>工作的公开措施</w:t>
      </w:r>
    </w:p>
    <w:p>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rPr>
        <w:t>1</w:t>
      </w:r>
      <w:r>
        <w:rPr>
          <w:rFonts w:ascii="楷体_GB2312" w:eastAsia="楷体_GB2312"/>
          <w:color w:val="auto"/>
          <w:sz w:val="32"/>
          <w:szCs w:val="32"/>
        </w:rPr>
        <w:t>.</w:t>
      </w:r>
      <w:r>
        <w:rPr>
          <w:rFonts w:hint="eastAsia" w:ascii="仿宋_GB2312" w:eastAsia="仿宋_GB2312"/>
          <w:color w:val="auto"/>
          <w:sz w:val="32"/>
          <w:szCs w:val="32"/>
        </w:rPr>
        <w:t>公开发布通知，明确评选政策。对于校内和上级部门的每一项荣誉申报项目，学校都通过校内网公开发布了申报通知（上级有密级规定的除外），在通知中一般都会明确申报范围、申报条件、申报名额以及申报材料制作和提交时限要求等。在通知中，一般都会附上相关工作人员的联系电话，以便及时接受咨询，解答疑问。发布通知同时向纪检部门</w:t>
      </w:r>
      <w:r>
        <w:rPr>
          <w:rFonts w:hint="eastAsia" w:ascii="仿宋_GB2312" w:eastAsia="仿宋_GB2312"/>
          <w:sz w:val="32"/>
          <w:szCs w:val="32"/>
        </w:rPr>
        <w:t>线上备案。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楷体_GB2312" w:eastAsia="楷体_GB2312"/>
          <w:sz w:val="32"/>
          <w:szCs w:val="32"/>
        </w:rPr>
        <w:t>.</w:t>
      </w:r>
      <w:r>
        <w:rPr>
          <w:rFonts w:hint="eastAsia" w:ascii="仿宋_GB2312" w:eastAsia="仿宋_GB2312"/>
          <w:sz w:val="32"/>
          <w:szCs w:val="32"/>
        </w:rPr>
        <w:t>严格资格审查，规范遴选程序。学校相关部门根据项目文件对申报条件的要求，对于每一份申报材料严格进行审查，确保进入评审程序的都是合格人选。对于有名额限定的项目，学校召开评审会议选拔推荐，并根据上级要求由学校会议审定；对于无名额限定的项目，则将符合资格的全部报送，由上级部门组织遴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楷体_GB2312" w:eastAsia="楷体_GB2312"/>
          <w:sz w:val="32"/>
          <w:szCs w:val="32"/>
        </w:rPr>
        <w:t>.</w:t>
      </w:r>
      <w:r>
        <w:rPr>
          <w:rFonts w:hint="eastAsia" w:ascii="仿宋_GB2312" w:eastAsia="仿宋_GB2312"/>
          <w:sz w:val="32"/>
          <w:szCs w:val="32"/>
        </w:rPr>
        <w:t>按照上级文件要求进行公示。对于需要校内评审推荐的，或者虽由上级评审但要求单位内公示的，都严格按照规定的方式和时限进行公示。</w:t>
      </w:r>
    </w:p>
    <w:p>
      <w:pPr>
        <w:spacing w:line="560" w:lineRule="exact"/>
        <w:ind w:firstLine="640" w:firstLineChars="200"/>
      </w:pPr>
      <w:r>
        <w:rPr>
          <w:rFonts w:hint="eastAsia" w:ascii="仿宋_GB2312" w:eastAsia="仿宋_GB2312"/>
          <w:sz w:val="32"/>
          <w:szCs w:val="32"/>
        </w:rPr>
        <w:t>4</w:t>
      </w:r>
      <w:r>
        <w:rPr>
          <w:rFonts w:ascii="楷体_GB2312" w:eastAsia="楷体_GB2312"/>
          <w:sz w:val="32"/>
          <w:szCs w:val="32"/>
        </w:rPr>
        <w:t>.</w:t>
      </w:r>
      <w:r>
        <w:rPr>
          <w:rFonts w:hint="eastAsia" w:ascii="仿宋_GB2312" w:eastAsia="仿宋_GB2312"/>
          <w:sz w:val="32"/>
          <w:szCs w:val="32"/>
        </w:rPr>
        <w:t>根据上级公布文件，网上公布评选结果。</w:t>
      </w:r>
    </w:p>
    <w:p>
      <w:pPr>
        <w:rPr>
          <w:rFonts w:hint="eastAsia"/>
        </w:rPr>
      </w:pPr>
      <w:r>
        <w:rPr>
          <w:rFonts w:hint="eastAsia"/>
        </w:rPr>
        <w:br w:type="page"/>
      </w:r>
    </w:p>
    <w:p>
      <w:pPr>
        <w:pStyle w:val="2"/>
        <w:keepNext/>
        <w:keepLines/>
        <w:pageBreakBefore w:val="0"/>
        <w:widowControl w:val="0"/>
        <w:kinsoku/>
        <w:wordWrap/>
        <w:overflowPunct/>
        <w:topLinePunct w:val="0"/>
        <w:autoSpaceDE/>
        <w:autoSpaceDN/>
        <w:bidi w:val="0"/>
        <w:adjustRightInd/>
        <w:snapToGrid w:val="0"/>
        <w:spacing w:before="0" w:after="0" w:afterLines="0" w:line="560" w:lineRule="exact"/>
        <w:ind w:firstLine="0"/>
        <w:textAlignment w:val="auto"/>
        <w:rPr>
          <w:rFonts w:hint="eastAsia" w:ascii="方正小标宋简体" w:hAnsi="方正小标宋简体" w:eastAsia="方正小标宋简体" w:cs="方正小标宋简体"/>
          <w:b/>
          <w:bCs/>
          <w:lang w:val="en-US" w:eastAsia="zh-CN"/>
        </w:rPr>
      </w:pPr>
      <w:bookmarkStart w:id="22" w:name="_Toc5262940"/>
      <w:bookmarkStart w:id="23" w:name="_Toc103345068"/>
      <w:r>
        <w:rPr>
          <w:rFonts w:hint="eastAsia" w:ascii="方正小标宋简体" w:hAnsi="方正小标宋简体" w:eastAsia="方正小标宋简体" w:cs="方正小标宋简体"/>
          <w:b/>
          <w:bCs/>
          <w:lang w:val="en-US" w:eastAsia="zh-CN"/>
        </w:rPr>
        <w:t>2024年教学仪器设备和大宗物资采购</w:t>
      </w:r>
      <w:bookmarkEnd w:id="22"/>
      <w:bookmarkEnd w:id="23"/>
      <w:bookmarkStart w:id="24" w:name="_Toc5089732"/>
      <w:bookmarkStart w:id="25" w:name="_Toc5262941"/>
      <w:bookmarkStart w:id="26" w:name="_Toc103345069"/>
      <w:bookmarkStart w:id="27" w:name="_Toc103343706"/>
      <w:r>
        <w:rPr>
          <w:rFonts w:hint="eastAsia" w:ascii="方正小标宋简体" w:hAnsi="方正小标宋简体" w:eastAsia="方正小标宋简体" w:cs="方正小标宋简体"/>
          <w:b/>
          <w:bCs/>
          <w:lang w:val="en-US" w:eastAsia="zh-CN"/>
        </w:rPr>
        <w:t>工作</w:t>
      </w:r>
    </w:p>
    <w:p>
      <w:pPr>
        <w:pStyle w:val="2"/>
        <w:keepNext/>
        <w:keepLines/>
        <w:pageBreakBefore w:val="0"/>
        <w:widowControl w:val="0"/>
        <w:kinsoku/>
        <w:wordWrap/>
        <w:overflowPunct/>
        <w:topLinePunct w:val="0"/>
        <w:autoSpaceDE/>
        <w:autoSpaceDN/>
        <w:bidi w:val="0"/>
        <w:adjustRightInd/>
        <w:snapToGrid w:val="0"/>
        <w:spacing w:before="0" w:after="0" w:afterLines="0" w:line="560" w:lineRule="exact"/>
        <w:ind w:firstLine="0"/>
        <w:textAlignment w:val="auto"/>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lang w:val="en-US" w:eastAsia="zh-CN"/>
        </w:rPr>
        <w:t>公开报告</w:t>
      </w:r>
      <w:bookmarkEnd w:id="24"/>
      <w:bookmarkEnd w:id="25"/>
      <w:bookmarkEnd w:id="26"/>
      <w:bookmarkEnd w:id="27"/>
    </w:p>
    <w:p>
      <w:pPr>
        <w:pStyle w:val="17"/>
        <w:ind w:firstLine="640"/>
        <w:rPr>
          <w:rFonts w:hint="eastAsia" w:ascii="黑体" w:hAnsi="黑体" w:eastAsia="黑体"/>
          <w:b w:val="0"/>
        </w:rPr>
      </w:pPr>
    </w:p>
    <w:p>
      <w:pPr>
        <w:pStyle w:val="17"/>
        <w:ind w:firstLine="640"/>
        <w:rPr>
          <w:rFonts w:ascii="黑体" w:hAnsi="黑体" w:eastAsia="黑体"/>
          <w:b w:val="0"/>
        </w:rPr>
      </w:pPr>
      <w:r>
        <w:rPr>
          <w:rFonts w:hint="eastAsia" w:ascii="黑体" w:hAnsi="黑体" w:eastAsia="黑体"/>
          <w:b w:val="0"/>
        </w:rPr>
        <w:t>一、基本情况</w:t>
      </w:r>
    </w:p>
    <w:p>
      <w:pPr>
        <w:spacing w:line="560" w:lineRule="exact"/>
        <w:ind w:firstLine="640" w:firstLineChars="200"/>
        <w:jc w:val="both"/>
        <w:rPr>
          <w:rFonts w:ascii="Times New Roman" w:hAnsi="Times New Roman" w:eastAsia="仿宋_GB2312"/>
          <w:b/>
          <w:sz w:val="32"/>
          <w:szCs w:val="32"/>
        </w:rPr>
      </w:pPr>
      <w:r>
        <w:rPr>
          <w:rFonts w:ascii="Times New Roman" w:hAnsi="Times New Roman" w:eastAsia="仿宋_GB2312"/>
          <w:sz w:val="32"/>
          <w:szCs w:val="32"/>
        </w:rPr>
        <w:t>1.</w:t>
      </w:r>
      <w:r>
        <w:rPr>
          <w:rFonts w:hint="eastAsia"/>
        </w:rPr>
        <w:t xml:space="preserve"> </w:t>
      </w:r>
      <w:r>
        <w:rPr>
          <w:rFonts w:hint="eastAsia" w:ascii="Times New Roman" w:hAnsi="Times New Roman" w:eastAsia="仿宋_GB2312"/>
          <w:sz w:val="32"/>
          <w:szCs w:val="32"/>
        </w:rPr>
        <w:t>2024年，学校申报政府采购预算执行建议书1886份，涉及金额4.44亿元，其中：设备类980项，采购预算金额1.32亿元；家具类206项，采购预算金额957.15万元；软件类13项，采购预算金额516.7万元；图书资料及教材类8项，采购预算金额776.55万元；全校会议培训类129项，采购预算金额1209.68万元；招生宣传、出版、保险等服务类项目257项，采购预算金额1.18亿元；工程类78项，采购预算金额1.55亿元；其他零星采购项目215项，采购预算金额495.89万元。</w:t>
      </w:r>
      <w:r>
        <w:rPr>
          <w:rFonts w:ascii="Times New Roman" w:hAnsi="Times New Roman" w:eastAsia="仿宋_GB2312"/>
          <w:b/>
          <w:sz w:val="32"/>
          <w:szCs w:val="32"/>
        </w:rPr>
        <w:t>（数据来源：计财处）</w:t>
      </w:r>
    </w:p>
    <w:p>
      <w:pPr>
        <w:spacing w:line="560" w:lineRule="exact"/>
        <w:ind w:firstLine="640" w:firstLineChars="200"/>
        <w:jc w:val="both"/>
        <w:rPr>
          <w:rFonts w:ascii="Times New Roman" w:hAnsi="Times New Roman" w:eastAsia="仿宋_GB2312"/>
          <w:b/>
          <w:sz w:val="32"/>
          <w:szCs w:val="32"/>
        </w:rPr>
      </w:pPr>
      <w:r>
        <w:rPr>
          <w:rFonts w:ascii="Times New Roman" w:hAnsi="Times New Roman" w:eastAsia="仿宋_GB2312"/>
          <w:sz w:val="32"/>
          <w:szCs w:val="32"/>
        </w:rPr>
        <w:t>2.2024年，学校新增教学资产总量为8077件，同比增长58.25%；总金额为3781.71万元，同比增长8.20%。教学仪器设备新增2503件，同比下降9.25%；金额2779.96万元同比下降6.99%。其中，单台件价值10万元以上贵重仪器设备42件，同比增长16.67%。教学家具用具新增5557件，同比增长138.50%；金额819.00万元，同比增长205.68%。教学软件新增17件，同比增长6.25%；金额182.75万元，同比下降6.99%。</w:t>
      </w:r>
      <w:r>
        <w:rPr>
          <w:rFonts w:ascii="Times New Roman" w:hAnsi="Times New Roman" w:eastAsia="仿宋_GB2312"/>
          <w:b/>
          <w:sz w:val="32"/>
          <w:szCs w:val="32"/>
        </w:rPr>
        <w:t>（数据来源：资产处）</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3.2024年，学校主持或组织公开招标、竞争性磋商、竞争性谈判、单一来源等采购活动共计100次，招标采购项数130项，零星采购1274次，完成全部学校采购任务。签订合同143份，金额累计2.708亿元。</w:t>
      </w:r>
    </w:p>
    <w:p>
      <w:pPr>
        <w:spacing w:line="560" w:lineRule="exact"/>
        <w:ind w:firstLine="640" w:firstLineChars="200"/>
        <w:jc w:val="both"/>
        <w:rPr>
          <w:rFonts w:hint="eastAsia" w:ascii="Times New Roman" w:hAnsi="Times New Roman" w:eastAsia="仿宋_GB2312"/>
          <w:b/>
          <w:sz w:val="32"/>
          <w:szCs w:val="32"/>
        </w:rPr>
      </w:pPr>
      <w:r>
        <w:rPr>
          <w:rFonts w:ascii="Times New Roman" w:hAnsi="Times New Roman" w:eastAsia="仿宋_GB2312"/>
          <w:sz w:val="32"/>
          <w:szCs w:val="32"/>
        </w:rPr>
        <w:t>2024年，完成货物类合同金额100万元以上的有“图书馆</w:t>
      </w:r>
      <w:r>
        <w:rPr>
          <w:rFonts w:hint="eastAsia" w:ascii="Times New Roman" w:hAnsi="Times New Roman" w:eastAsia="仿宋_GB2312"/>
          <w:sz w:val="32"/>
          <w:szCs w:val="32"/>
        </w:rPr>
        <w:t>&amp;行云苑食堂（</w:t>
      </w:r>
      <w:r>
        <w:rPr>
          <w:rFonts w:ascii="Times New Roman" w:hAnsi="Times New Roman" w:eastAsia="仿宋_GB2312"/>
          <w:sz w:val="32"/>
          <w:szCs w:val="32"/>
        </w:rPr>
        <w:t>江韵阁</w:t>
      </w:r>
      <w:r>
        <w:rPr>
          <w:rFonts w:hint="eastAsia" w:ascii="Times New Roman" w:hAnsi="Times New Roman" w:eastAsia="仿宋_GB2312"/>
          <w:sz w:val="32"/>
          <w:szCs w:val="32"/>
        </w:rPr>
        <w:t>餐厅）</w:t>
      </w:r>
      <w:r>
        <w:rPr>
          <w:rFonts w:ascii="Times New Roman" w:hAnsi="Times New Roman" w:eastAsia="仿宋_GB2312"/>
          <w:sz w:val="32"/>
          <w:szCs w:val="32"/>
        </w:rPr>
        <w:t>中央空调节能减排更新改造项目”、“未来营养健康与共同富裕计算设备更新-共同富裕计算设备项目”、“继教学院-腾讯云数字产业人才培养项目教学等资源项目”等30项（其中,单个合同金额300万元以上11项，单个合同金额1000万元以上3项）；完成服务类合同金额100万元以上的有“专业技术职务岗位晋升第三方同行评审服务项目”、“图书馆ELSEVIER数据库、CNRDS数据库项目”、“2025年</w:t>
      </w:r>
      <w:r>
        <w:rPr>
          <w:rFonts w:ascii="Times New Roman" w:hAnsi="Times New Roman" w:eastAsia="微软雅黑"/>
          <w:sz w:val="32"/>
          <w:szCs w:val="32"/>
        </w:rPr>
        <w:t>–</w:t>
      </w:r>
      <w:r>
        <w:rPr>
          <w:rFonts w:ascii="Times New Roman" w:hAnsi="Times New Roman" w:eastAsia="仿宋_GB2312"/>
          <w:sz w:val="32"/>
          <w:szCs w:val="32"/>
        </w:rPr>
        <w:t>2026年校车租赁项目”等15项（其中单个合同金额300万元以上3项，单个合同金额1000万元以上1项）；完成工程类合同金额100万元以上的有“浙商博物馆装修改造工程项目”、“学生公寓提升改造工程项目”、“下沙校区消防水系统维修改造项目”等11项（其中单个合同金额300万元以上5项）。</w:t>
      </w:r>
      <w:r>
        <w:rPr>
          <w:rFonts w:ascii="Times New Roman" w:hAnsi="Times New Roman" w:eastAsia="仿宋_GB2312"/>
          <w:b/>
          <w:sz w:val="32"/>
          <w:szCs w:val="32"/>
        </w:rPr>
        <w:t>（数据来源：采购中心）</w:t>
      </w:r>
    </w:p>
    <w:p>
      <w:pPr>
        <w:spacing w:line="540" w:lineRule="exact"/>
        <w:ind w:firstLine="0"/>
        <w:jc w:val="center"/>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2024年100万元以上教学仪器设备和大宗物资采购情况统计表</w:t>
      </w:r>
    </w:p>
    <w:tbl>
      <w:tblPr>
        <w:tblStyle w:val="9"/>
        <w:tblW w:w="8858" w:type="dxa"/>
        <w:jc w:val="center"/>
        <w:tblInd w:w="0" w:type="dxa"/>
        <w:tblLayout w:type="fixed"/>
        <w:tblCellMar>
          <w:top w:w="0" w:type="dxa"/>
          <w:left w:w="0" w:type="dxa"/>
          <w:bottom w:w="0" w:type="dxa"/>
          <w:right w:w="0" w:type="dxa"/>
        </w:tblCellMar>
      </w:tblPr>
      <w:tblGrid>
        <w:gridCol w:w="636"/>
        <w:gridCol w:w="5498"/>
        <w:gridCol w:w="1134"/>
        <w:gridCol w:w="1590"/>
      </w:tblGrid>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4" w:lineRule="atLeast"/>
              <w:ind w:firstLine="0"/>
              <w:jc w:val="both"/>
              <w:rPr>
                <w:rFonts w:ascii="Times New Roman" w:hAnsi="Times New Roman" w:eastAsia="仿宋"/>
                <w:b/>
                <w:bCs/>
                <w:kern w:val="0"/>
                <w:sz w:val="24"/>
                <w:lang w:bidi="ar"/>
              </w:rPr>
            </w:pPr>
            <w:r>
              <w:rPr>
                <w:rFonts w:ascii="Times New Roman" w:hAnsi="Times New Roman" w:eastAsia="仿宋"/>
                <w:b/>
                <w:bCs/>
                <w:kern w:val="0"/>
                <w:sz w:val="24"/>
                <w:lang w:bidi="ar"/>
              </w:rPr>
              <w:t>序号</w:t>
            </w:r>
          </w:p>
        </w:tc>
        <w:tc>
          <w:tcPr>
            <w:tcW w:w="54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34" w:lineRule="atLeast"/>
              <w:ind w:firstLine="0"/>
              <w:jc w:val="center"/>
              <w:rPr>
                <w:rFonts w:ascii="Times New Roman" w:hAnsi="Times New Roman" w:eastAsia="仿宋"/>
                <w:b/>
                <w:bCs/>
                <w:kern w:val="0"/>
                <w:sz w:val="24"/>
                <w:lang w:bidi="ar"/>
              </w:rPr>
            </w:pPr>
            <w:r>
              <w:rPr>
                <w:rFonts w:ascii="Times New Roman" w:hAnsi="Times New Roman" w:eastAsia="仿宋"/>
                <w:b/>
                <w:bCs/>
                <w:kern w:val="0"/>
                <w:sz w:val="24"/>
                <w:lang w:bidi="ar"/>
              </w:rPr>
              <w:t>采购项目名称</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34" w:lineRule="atLeast"/>
              <w:ind w:firstLine="0"/>
              <w:jc w:val="left"/>
              <w:rPr>
                <w:rFonts w:ascii="Times New Roman" w:hAnsi="Times New Roman" w:eastAsia="仿宋"/>
                <w:b/>
                <w:bCs/>
                <w:kern w:val="0"/>
                <w:sz w:val="24"/>
                <w:lang w:bidi="ar"/>
              </w:rPr>
            </w:pPr>
            <w:r>
              <w:rPr>
                <w:rFonts w:ascii="Times New Roman" w:hAnsi="Times New Roman" w:eastAsia="仿宋"/>
                <w:b/>
                <w:bCs/>
                <w:kern w:val="0"/>
                <w:sz w:val="24"/>
                <w:lang w:bidi="ar"/>
              </w:rPr>
              <w:t>合同总额</w:t>
            </w:r>
          </w:p>
          <w:p>
            <w:pPr>
              <w:widowControl/>
              <w:spacing w:line="234" w:lineRule="atLeast"/>
              <w:ind w:firstLine="0"/>
              <w:jc w:val="left"/>
              <w:rPr>
                <w:rFonts w:ascii="Times New Roman" w:hAnsi="Times New Roman" w:eastAsia="仿宋"/>
                <w:b/>
                <w:bCs/>
                <w:kern w:val="0"/>
                <w:sz w:val="24"/>
                <w:lang w:bidi="ar"/>
              </w:rPr>
            </w:pPr>
            <w:r>
              <w:rPr>
                <w:rFonts w:ascii="Times New Roman" w:hAnsi="Times New Roman" w:eastAsia="仿宋"/>
                <w:b/>
                <w:bCs/>
                <w:kern w:val="0"/>
                <w:sz w:val="24"/>
                <w:lang w:bidi="ar"/>
              </w:rPr>
              <w:t>(万元)</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34" w:lineRule="atLeast"/>
              <w:ind w:firstLine="0"/>
              <w:jc w:val="center"/>
              <w:rPr>
                <w:rFonts w:ascii="Times New Roman" w:hAnsi="Times New Roman" w:eastAsia="仿宋"/>
                <w:b/>
                <w:bCs/>
                <w:kern w:val="0"/>
                <w:sz w:val="24"/>
                <w:lang w:bidi="ar"/>
              </w:rPr>
            </w:pPr>
            <w:r>
              <w:rPr>
                <w:rFonts w:ascii="Times New Roman" w:hAnsi="Times New Roman" w:eastAsia="仿宋"/>
                <w:b/>
                <w:bCs/>
                <w:kern w:val="0"/>
                <w:sz w:val="24"/>
                <w:lang w:bidi="ar"/>
              </w:rPr>
              <w:t>采购方式</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浙江工商大学2025年–2026年校车租赁（标项一：2025-2026年度（小车）车辆租赁服务（9座及以下））</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440.00</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浙江工商大学跨境电商教育平台</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100.20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浙江工商大学课堂教学资源二期建设</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194.30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浙江工商大学2025年中文纸质图书（标项二：哲学、法学、军事学等社会科学类图书）</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130.00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浙江工商大学2025年中文纸质图书（标项一：经济学、管理学、文学等人文科学类图书）</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170.00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浙江工商大学未来营养健康与共同富裕计算设备更新-基础保障平台智算中心设备（第二批）</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268.2797</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浙江工商大学图书馆及江韵阁中央空调节能减排更新改造项目</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426.075</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浙江工商大学宝盛数智餐厨技术研究中心产品开发分析与中试设备(标项二)</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122.117</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浙江工商大学宝盛数智餐厨技术研究中心产品开发分析与中试设备(标项一)</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127.5888</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浙江工商大学图书馆Elsevier数据库、CNRDS数据库项目（标项一：ELSEVIER数据库）</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465.00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单一来源</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浙江工商大学未来营养健康与共同富裕计算设备更新-未来营养健康（第一批）（标项四）</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349.00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浙江工商大学未来营养健康与共同富裕计算设备更新-未来营养健康（第一批）（标项三）</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1128.08</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浙江工商大学未来营养健康与共同富裕计算设备更新-未来营养健康（第一批）（标项二）</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474.98</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bookmarkStart w:id="28" w:name="OLE_LINK2"/>
            <w:r>
              <w:rPr>
                <w:rFonts w:ascii="Times New Roman" w:hAnsi="Times New Roman" w:eastAsia="仿宋"/>
                <w:sz w:val="24"/>
              </w:rPr>
              <w:t>浙江工商大学未来营养健康与共同富裕计算设备更新-未来营养健康（第一批）</w:t>
            </w:r>
            <w:bookmarkEnd w:id="28"/>
            <w:r>
              <w:rPr>
                <w:rFonts w:ascii="Times New Roman" w:hAnsi="Times New Roman" w:eastAsia="仿宋"/>
                <w:sz w:val="24"/>
              </w:rPr>
              <w:t>（标项一）</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1183.10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浙江工商大学未来营养健康与共同富裕计算设备更新-基础保障平台智算中心设备（第一批）</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2153.68</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浙江工商大学未来营养健康与共同富裕计算设备更新-共同富裕计算设备（第一批）（标项三）</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147.60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浙江工商大学未来营养健康与共同富裕计算设备更新-共同富裕计算设备（第一批）（标项二）</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207.60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浙江工商大学专业技术职务岗位晋升第三方同行评审服务</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270.00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单一来源</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浙江工商大学2024-2025年度零星维修材料配送服务</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100.00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浙江工商大学浙商博物馆装修改造工程</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280.00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浙江工商大学金沙港玉屏洲供配电系统提升改造</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118.80</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浙江工商大学E楼1-5层走廊文化建设工程</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121.963</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浙江工商大学数字高校系统建设：学生成长一体化平台（一期）</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148.45</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浙江工商大学2024年腾讯云数字产业人才培养项目教学等资源</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824.29</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单一来源</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浙江工商大学银校项目智安校园项目</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135.70</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浙江工商大学2024-2025年度小额维修改造工程（标项三：下沙生活区）</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450.00</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浙江工商大学2024-2025年度小额维修改造工程（标项二：教工路校区）</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475.00</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浙江工商大学2024-2025年度小额维修改造工程（标项一：下沙教学区）</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550.00</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浙江工商大学两校区卫生保洁</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2408.00</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浙江工商大学学位论文质量监测服务</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240.00</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单一来源</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浙江工商大学9号教学楼部分教室提升改造工程</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121.04</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浙江工商大毕业生寝室维修项目（标项一:钱江湾生活区）</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160.00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浙江工商大学学生公寓提升改造工程</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308.00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浙江工商大学三号教学楼部分教室提升改造工程</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142.50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浙江工商大学银校合作项目教工路校区智慧校园网络设备升级、智慧校园计算机实验室项目</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101.00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浙江工商大学2024-2026年度教职工疗休养服务（标项六）</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160.00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浙江工商大学2024-2026年度教职工疗休养服务（标项五）</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160.00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浙江工商大学2024-2026年度教职工疗休养服务（标项四）</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160.00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浙江工商大学2024-2026年度教职工疗休养服务（标项三）</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160.00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浙江工商大学2024-2026年度教职工疗休养服务（标项二）</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160.00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浙江工商大学2024-2026年度教职工疗休养服务（标项一）</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160.00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浙江工商大学2024年文科实验中心标准化机房改造</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116.1618</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浙江工商大学北京研究院北京办公场地租赁</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143.20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单一来源</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浙江工商大学2024-2027年劳务派遣服务</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109.80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单一来源</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浙江工商大学数值模拟平台采购项目</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128.40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浙江工商大学金沙港玉屏洲电梯更新项目</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268.00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浙江工商大学省高校青年教师公寓丽泽苑43套房源租赁服务</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235.554</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sz w:val="24"/>
              </w:rPr>
              <w:t>单一来源</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浙江工商大学下沙校区消防水系统维修改造项目</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320.70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竞争性磋商</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浙江工商大学新污染物生态健康评估及治理技术平台采购项目</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309.80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浙江工商大学继续教育学院2024年秋季至2027年春季教材</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120.00</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浙江工商大学2024年教工路公寓提升项目</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473.866</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浙江工商大学食品功能与营养健康学科创新引智基地（111引智基地）平台建设项目</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479.68</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浙江工商大学绿谷食品健康产业研究院设备采购项目(标项三)</w:t>
            </w:r>
          </w:p>
        </w:tc>
        <w:tc>
          <w:tcPr>
            <w:tcW w:w="1134"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493.75</w:t>
            </w:r>
          </w:p>
        </w:tc>
        <w:tc>
          <w:tcPr>
            <w:tcW w:w="1590" w:type="dxa"/>
            <w:tcBorders>
              <w:top w:val="nil"/>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浙江工商大学绿谷食品健康产业研究院设备采购项目(标项二)</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167.91</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浙江工商大学两校区公共洗手间卫生用纸</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等线"/>
                <w:color w:val="000000"/>
                <w:sz w:val="22"/>
                <w:szCs w:val="22"/>
              </w:rPr>
              <w:t>190.00</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kern w:val="0"/>
                <w:sz w:val="24"/>
                <w:lang w:bidi="ar"/>
              </w:rPr>
            </w:pPr>
            <w:r>
              <w:rPr>
                <w:rFonts w:ascii="Times New Roman" w:hAnsi="Times New Roman" w:eastAsia="仿宋"/>
                <w:color w:val="000000"/>
                <w:sz w:val="24"/>
              </w:rPr>
              <w:t>公开招标</w:t>
            </w:r>
          </w:p>
        </w:tc>
      </w:tr>
      <w:tr>
        <w:tblPrEx>
          <w:tblLayout w:type="fixed"/>
          <w:tblCellMar>
            <w:top w:w="0" w:type="dxa"/>
            <w:left w:w="0" w:type="dxa"/>
            <w:bottom w:w="0" w:type="dxa"/>
            <w:right w:w="0"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1"/>
              </w:numPr>
              <w:suppressAutoHyphens/>
              <w:spacing w:line="234" w:lineRule="atLeast"/>
              <w:jc w:val="center"/>
              <w:rPr>
                <w:rFonts w:ascii="Times New Roman" w:hAnsi="Times New Roman" w:eastAsia="仿宋"/>
                <w:kern w:val="0"/>
                <w:sz w:val="24"/>
                <w:lang w:bidi="ar"/>
              </w:rPr>
            </w:pPr>
          </w:p>
        </w:tc>
        <w:tc>
          <w:tcPr>
            <w:tcW w:w="5498"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kern w:val="0"/>
                <w:sz w:val="24"/>
                <w:lang w:bidi="ar"/>
              </w:rPr>
            </w:pPr>
            <w:r>
              <w:rPr>
                <w:rFonts w:ascii="Times New Roman" w:hAnsi="Times New Roman" w:eastAsia="仿宋"/>
                <w:sz w:val="24"/>
              </w:rPr>
              <w:t>浙江工商大学下沙校区生活垃圾清运处置</w:t>
            </w:r>
          </w:p>
        </w:tc>
        <w:tc>
          <w:tcPr>
            <w:tcW w:w="113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left"/>
              <w:rPr>
                <w:rFonts w:ascii="Times New Roman" w:hAnsi="Times New Roman" w:eastAsia="仿宋"/>
                <w:sz w:val="24"/>
              </w:rPr>
            </w:pPr>
            <w:r>
              <w:rPr>
                <w:rFonts w:ascii="Times New Roman" w:hAnsi="Times New Roman" w:eastAsia="等线"/>
                <w:color w:val="000000"/>
                <w:sz w:val="22"/>
                <w:szCs w:val="22"/>
              </w:rPr>
              <w:t>215.00</w:t>
            </w:r>
          </w:p>
        </w:tc>
        <w:tc>
          <w:tcPr>
            <w:tcW w:w="159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34" w:lineRule="atLeast"/>
              <w:ind w:firstLine="0"/>
              <w:jc w:val="center"/>
              <w:rPr>
                <w:rFonts w:ascii="Times New Roman" w:hAnsi="Times New Roman" w:eastAsia="仿宋"/>
                <w:sz w:val="24"/>
              </w:rPr>
            </w:pPr>
            <w:r>
              <w:rPr>
                <w:rFonts w:ascii="Times New Roman" w:hAnsi="Times New Roman" w:eastAsia="仿宋"/>
                <w:sz w:val="24"/>
              </w:rPr>
              <w:t>单一来源</w:t>
            </w:r>
          </w:p>
        </w:tc>
      </w:tr>
    </w:tbl>
    <w:p>
      <w:pPr>
        <w:pStyle w:val="17"/>
        <w:spacing w:line="560" w:lineRule="exact"/>
        <w:ind w:firstLine="640"/>
        <w:rPr>
          <w:rFonts w:ascii="黑体" w:hAnsi="黑体" w:eastAsia="黑体" w:cs="黑体"/>
          <w:b w:val="0"/>
        </w:rPr>
      </w:pPr>
      <w:r>
        <w:rPr>
          <w:rFonts w:hint="eastAsia" w:ascii="黑体" w:hAnsi="黑体" w:eastAsia="黑体" w:cs="黑体"/>
          <w:b w:val="0"/>
        </w:rPr>
        <w:t>二、工作举措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1.2024年，学校修订完成《采购管理办法》《部门自行采购实施细则》，不断完善内控制度、优化采购工作流程，主要体现在：一是松绑减负，提升采购工作效率。放宽学校组织采购限额标准，推进科研采购“放管服”，促进新质生产力发展，简化采购流程，提高采购工作效率；二是规范执行，落实上级采购政策。突出政府采购政策功能，优化完善采购方式，加强采购需求和采购实施计划管理，强化政府采购履约验收管理；三是健全管理，完善采购内控机制。增加采购领导小组成员，进一步明确各部门职责，落实采购工作责任，强化采购纪律与监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各级部门出台的相关采购制度和规定，及时完善和改进我校自行采购招标标书模板、合同模板，提高采购效率、规范内容、回避负面清单，降低履约保证金比例，减轻供应商负担，常态化提醒供应商和用户适时办理履约保证金退还手续，严格执行小微企业、节能环保产品、专门面向中小企业项目等政策，认真及时参与回复采购质疑等事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3.进一步推进、优化和完善智慧采购系统建设。目前已完成一期智慧采购系统的建设和验收，基本实现了学校采购管理工作全流程电子化管理。</w:t>
      </w:r>
    </w:p>
    <w:p>
      <w:pPr>
        <w:pStyle w:val="7"/>
        <w:spacing w:line="560" w:lineRule="exact"/>
        <w:rPr>
          <w:rFonts w:hint="eastAsia" w:ascii="Times New Roman" w:hAnsi="Times New Roman"/>
          <w:sz w:val="28"/>
          <w:szCs w:val="28"/>
        </w:rPr>
      </w:pPr>
      <w:r>
        <w:rPr>
          <w:rFonts w:ascii="仿宋_GB2312" w:hAnsi="仿宋_GB2312" w:eastAsia="仿宋_GB2312" w:cs="仿宋_GB2312"/>
          <w:kern w:val="2"/>
          <w:sz w:val="32"/>
          <w:szCs w:val="32"/>
        </w:rPr>
        <w:t>4.打造“创新、开放、共享”的商大多元化资源共享模式，推动资源高效利用和可持续发展。本年度，“畅约”平台新增资源103项，资源总量达134项，平台访问量突破154万次，完成18次升级迭代，进一步优化用户体验。平台新增学生意见反馈和资源监督功能，积极营造“守公约、增实效”的良好氛围，确保资源使用公开透明、高效规范。同时，以盘活</w:t>
      </w:r>
      <w:r>
        <w:rPr>
          <w:rFonts w:hint="eastAsia" w:ascii="仿宋_GB2312" w:hAnsi="仿宋_GB2312" w:eastAsia="仿宋_GB2312" w:cs="仿宋_GB2312"/>
          <w:kern w:val="2"/>
          <w:sz w:val="32"/>
          <w:szCs w:val="32"/>
        </w:rPr>
        <w:t>低效</w:t>
      </w:r>
      <w:r>
        <w:rPr>
          <w:rFonts w:ascii="仿宋_GB2312" w:hAnsi="仿宋_GB2312" w:eastAsia="仿宋_GB2312" w:cs="仿宋_GB2312"/>
          <w:kern w:val="2"/>
          <w:sz w:val="32"/>
          <w:szCs w:val="32"/>
        </w:rPr>
        <w:t>资产、提升老旧资产利用率为目标，深入开展调研，统筹协调各方资源，制定科学合理的物资调配计划。本年度依托公物仓完成资产利旧调配总价值460余万元，其中通过教工路公物仓暑期专项工作，完成250余件资产利旧调配，为学校节约资金60万元以上，有效提升了资产使用效率，助力学校资源优化配置和节约型校园建设。</w:t>
      </w:r>
    </w:p>
    <w:p>
      <w:pPr>
        <w:spacing w:line="560" w:lineRule="exact"/>
        <w:rPr>
          <w:rFonts w:hint="eastAsia"/>
        </w:rPr>
      </w:pPr>
      <w:r>
        <w:rPr>
          <w:rFonts w:hint="eastAsia"/>
        </w:rPr>
        <w:br w:type="page"/>
      </w:r>
    </w:p>
    <w:p>
      <w:pPr>
        <w:pStyle w:val="2"/>
        <w:keepNext/>
        <w:keepLines/>
        <w:pageBreakBefore w:val="0"/>
        <w:widowControl w:val="0"/>
        <w:kinsoku/>
        <w:wordWrap/>
        <w:overflowPunct/>
        <w:topLinePunct w:val="0"/>
        <w:autoSpaceDE/>
        <w:autoSpaceDN/>
        <w:bidi w:val="0"/>
        <w:adjustRightInd/>
        <w:snapToGrid w:val="0"/>
        <w:spacing w:before="0" w:after="0" w:afterLines="0" w:line="560" w:lineRule="exact"/>
        <w:ind w:firstLine="0"/>
        <w:textAlignment w:val="auto"/>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2024年大型工程和小额维修改造工作</w:t>
      </w:r>
    </w:p>
    <w:p>
      <w:pPr>
        <w:pStyle w:val="2"/>
        <w:keepNext/>
        <w:keepLines/>
        <w:pageBreakBefore w:val="0"/>
        <w:widowControl w:val="0"/>
        <w:kinsoku/>
        <w:wordWrap/>
        <w:overflowPunct/>
        <w:topLinePunct w:val="0"/>
        <w:autoSpaceDE/>
        <w:autoSpaceDN/>
        <w:bidi w:val="0"/>
        <w:adjustRightInd/>
        <w:snapToGrid w:val="0"/>
        <w:spacing w:before="0" w:after="0" w:afterLines="0" w:line="560" w:lineRule="exact"/>
        <w:ind w:firstLine="0"/>
        <w:textAlignment w:val="auto"/>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公开报告</w:t>
      </w:r>
    </w:p>
    <w:p>
      <w:pPr>
        <w:spacing w:line="560" w:lineRule="exact"/>
        <w:ind w:firstLine="643" w:firstLineChars="200"/>
        <w:jc w:val="both"/>
        <w:rPr>
          <w:rFonts w:hint="eastAsia" w:ascii="仿宋_GB2312" w:hAnsi="仿宋_GB2312" w:eastAsia="仿宋_GB2312" w:cs="仿宋_GB2312"/>
          <w:b/>
          <w:sz w:val="32"/>
          <w:szCs w:val="32"/>
        </w:rPr>
      </w:pPr>
    </w:p>
    <w:p>
      <w:pPr>
        <w:spacing w:line="5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一、基本情况</w:t>
      </w:r>
    </w:p>
    <w:p>
      <w:pPr>
        <w:spacing w:line="5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（一）大型基本建设工程</w:t>
      </w:r>
    </w:p>
    <w:p>
      <w:pPr>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1.文体中心（亚运手球比赛场馆）改造提升项目恢复工程。</w:t>
      </w:r>
      <w:r>
        <w:rPr>
          <w:rFonts w:hint="eastAsia" w:ascii="仿宋_GB2312" w:hAnsi="仿宋_GB2312" w:eastAsia="仿宋_GB2312" w:cs="仿宋_GB2312"/>
          <w:sz w:val="32"/>
          <w:szCs w:val="32"/>
        </w:rPr>
        <w:t>根据建设计划，亚运场馆建设恢复工程于学校承办完亚运赛事任务后及时启动，实施内容为第二田径场（赛时作停车场使用）按二类场地标准进行恢复，除按标准配设各类体育设施，满足教学使用外，场地于西北角增设高杆灯，场地围网上增设夜间照明灯，以满足师生夜间活动需要。2024年4月22日，亚运场馆建设恢复工程正式竣工并投入使用；2024年9月，完成竣工结算，圆满完成项目各项内容。</w:t>
      </w:r>
    </w:p>
    <w:p>
      <w:pPr>
        <w:spacing w:line="560" w:lineRule="exact"/>
        <w:ind w:firstLine="57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2.科创大楼（产教融合基地）建设工程。</w:t>
      </w:r>
      <w:r>
        <w:rPr>
          <w:rFonts w:hint="eastAsia" w:ascii="仿宋_GB2312" w:hAnsi="仿宋_GB2312" w:eastAsia="仿宋_GB2312" w:cs="仿宋_GB2312"/>
          <w:color w:val="000000"/>
          <w:sz w:val="32"/>
          <w:szCs w:val="32"/>
        </w:rPr>
        <w:t>项目位于下沙校区教学区青春广场地块，</w:t>
      </w:r>
      <w:r>
        <w:rPr>
          <w:rFonts w:hint="eastAsia" w:ascii="仿宋_GB2312" w:hAnsi="仿宋_GB2312" w:eastAsia="仿宋_GB2312" w:cs="仿宋_GB2312"/>
          <w:sz w:val="32"/>
          <w:szCs w:val="32"/>
        </w:rPr>
        <w:t>总建筑面积234</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.9㎡，其中地下面积2944.9㎡，地上面积</w:t>
      </w:r>
      <w:r>
        <w:rPr>
          <w:rFonts w:hint="eastAsia" w:ascii="仿宋_GB2312" w:hAnsi="仿宋_GB2312" w:eastAsia="仿宋_GB2312" w:cs="仿宋_GB2312"/>
          <w:sz w:val="32"/>
          <w:szCs w:val="32"/>
          <w:lang w:val="en-US" w:eastAsia="zh-CN"/>
        </w:rPr>
        <w:t>20500</w:t>
      </w:r>
      <w:r>
        <w:rPr>
          <w:rFonts w:hint="eastAsia" w:ascii="仿宋_GB2312" w:hAnsi="仿宋_GB2312" w:eastAsia="仿宋_GB2312" w:cs="仿宋_GB2312"/>
          <w:sz w:val="32"/>
          <w:szCs w:val="32"/>
        </w:rPr>
        <w:t>㎡。地下部分主要功能为人防工程、设备用房及用于交通的电梯和地下通道等，地上部分主要功能包括产教融合中心、数字创新中心（中央实验室）、国际开放中心、公共共享空间、科技转化基地等。项目总投资概算16601.37万元（含设备购置费3039万元），其中，中央财政资金配套8000万元分别于2022年、2023年成功下达，省公建投资补助400万元于2023年下达。经争取，2024年项目获得地方政府一般债券资金1800万元。自2022年12月31日开工进入实体建设期以来，项目按既定施工进度安排有序推进，2024年项目完成主体结构验收，基本完成幕墙、安装、装修工程施工，并在年底组织实施校内初验。</w:t>
      </w:r>
    </w:p>
    <w:p>
      <w:pPr>
        <w:spacing w:line="560" w:lineRule="exact"/>
        <w:ind w:firstLine="57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3.研究生公寓建设工程。</w:t>
      </w:r>
      <w:r>
        <w:rPr>
          <w:rFonts w:hint="eastAsia" w:ascii="仿宋_GB2312" w:hAnsi="仿宋_GB2312" w:eastAsia="仿宋_GB2312" w:cs="仿宋_GB2312"/>
          <w:sz w:val="32"/>
          <w:szCs w:val="32"/>
        </w:rPr>
        <w:t>项目位于下沙校区钱江湾生活区内（东侧预留地块），总建筑面积55000平方米，其中地上建筑面积49495平方米、地下建筑面积5505平方米。主要包括学生宿舍29428平方米、生活用房及配套用房20067平方米、地下车库5505平方米。地上设置门厅、宿舍、洗衣房、公共活动空间、后勤及附属用房等。地下室设置地下车库、人防工程及配套设备用房等。项目总投资概算29881.41万元，所需建设资金由中央预算内投资、省财政资金、地方政府专项债券资金、学校专户资金和自有资金组成。经争取，2024年项目获地方政府专项债券资金7000万元。2024年，项目前期工作全面推进，完成初步设计审批、建筑节能审查、施工图审查、人防等级核定、工程规划许可证申领、地铁保护设计方案审查、道口开设审批等工作，实施施工、监理招标及施工许可证申领。2024年11月10日，项目正式开工建设，截至2024年12月，项目完成部分桩基工程施工。</w:t>
      </w:r>
    </w:p>
    <w:p>
      <w:pPr>
        <w:spacing w:line="560" w:lineRule="exact"/>
        <w:ind w:firstLine="57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4.教工路校区基本建设项目。</w:t>
      </w:r>
      <w:r>
        <w:rPr>
          <w:rFonts w:hint="eastAsia" w:ascii="仿宋_GB2312" w:hAnsi="仿宋_GB2312" w:eastAsia="仿宋_GB2312" w:cs="仿宋_GB2312"/>
          <w:sz w:val="32"/>
          <w:szCs w:val="32"/>
        </w:rPr>
        <w:t>自2024年8月浙江工商大学《高水平大学建设“一校一策”方案》获省政府常务会议和省委常委会议审议通过以来，学校结合办学实际，加快实施基础设施提质工程，陆续启动教工路校区各项目建设，积极开展各项前期工作。2024年11月9日，学校会议审定通过教工路校区基本建设选址规划方案，为教工路校区基本项目整体的规划实施明确了方向。2024年11月27日，教工路校区学生宿舍建设工程、人工智能大楼（中外合作办学人工智能与数字化协同育人示范基地）、稻盛商学院大楼（“商学+”全链路教育教学科产教融合基地）申请列入2025年浙江省省级政府投资项目计划储备类项目。2024年12月16日，学校会议审定通过教工路校区整体规划布局调整论证方案，并按规定上报杭州市规划和自然资源局，启动报批程序。</w:t>
      </w:r>
    </w:p>
    <w:p>
      <w:pPr>
        <w:spacing w:line="560" w:lineRule="exact"/>
        <w:ind w:firstLine="570" w:firstLineChars="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（二）维修改造工程</w:t>
      </w:r>
    </w:p>
    <w:p>
      <w:pPr>
        <w:spacing w:line="560" w:lineRule="exact"/>
        <w:ind w:firstLine="643"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总体情况：</w:t>
      </w:r>
      <w:r>
        <w:rPr>
          <w:rFonts w:hint="eastAsia" w:ascii="仿宋_GB2312" w:hAnsi="仿宋_GB2312" w:eastAsia="仿宋_GB2312" w:cs="仿宋_GB2312"/>
          <w:b w:val="0"/>
          <w:bCs/>
          <w:sz w:val="32"/>
          <w:szCs w:val="32"/>
          <w:lang w:val="en-US" w:eastAsia="zh-CN"/>
        </w:rPr>
        <w:t>2024年单项20万元以上招标工程项目21项，预算金额共计3918.19万元，签约合同金额3499.94万元。完成单项20万元以下小额维修改造项目1116项，预算金额共计854万元。零星材料入库43548件，约64.31万元；出库46662件，约70.79万元。</w:t>
      </w:r>
    </w:p>
    <w:p>
      <w:pPr>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全年完成重点项目有：</w:t>
      </w:r>
    </w:p>
    <w:p>
      <w:pPr>
        <w:numPr>
          <w:ilvl w:val="0"/>
          <w:numId w:val="0"/>
        </w:numPr>
        <w:spacing w:line="56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浙江工商大学下沙校区消防水系统维修改造项目。</w:t>
      </w:r>
      <w:r>
        <w:rPr>
          <w:rFonts w:hint="eastAsia" w:ascii="仿宋_GB2312" w:hAnsi="仿宋_GB2312" w:eastAsia="仿宋_GB2312" w:cs="仿宋_GB2312"/>
          <w:sz w:val="32"/>
          <w:szCs w:val="32"/>
        </w:rPr>
        <w:t>下沙校区教学区始建于2002年，其室外管道分标段建成，室外管网由镀锌管及HDPE管道（以下简称PE管）组成，其中PE管采用热熔对接方式，且标段不同PE管厚度不均，而镀锌管有不同程度腐蚀，每个月会有多次管道破裂渗漏。除外，教学区高位消防水稳压水箱18吨容量，约在2个多小时后全部渗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了大量的水资源浪费，且导致消火栓系统和喷淋系统常年无法稳压运行，存在较大安全隐患。因此于2024年4月启动实施浙江工商大学下沙校区消防水系统维修改造项目，对教学区室外消防水系统管网进行整体更换，</w:t>
      </w:r>
      <w:r>
        <w:rPr>
          <w:rFonts w:hint="eastAsia" w:ascii="仿宋_GB2312" w:hAnsi="仿宋_GB2312" w:eastAsia="仿宋_GB2312" w:cs="仿宋_GB2312"/>
          <w:sz w:val="32"/>
          <w:szCs w:val="32"/>
          <w:lang w:val="en-US" w:eastAsia="zh-CN"/>
        </w:rPr>
        <w:t>预算金额396万元，中标价</w:t>
      </w:r>
      <w:r>
        <w:rPr>
          <w:rFonts w:hint="eastAsia" w:ascii="仿宋_GB2312" w:hAnsi="仿宋_GB2312" w:eastAsia="仿宋_GB2312" w:cs="仿宋_GB2312"/>
          <w:sz w:val="32"/>
          <w:szCs w:val="32"/>
        </w:rPr>
        <w:t>320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2024年8月19日</w:t>
      </w:r>
      <w:r>
        <w:rPr>
          <w:rFonts w:hint="eastAsia" w:ascii="仿宋_GB2312" w:hAnsi="仿宋_GB2312" w:eastAsia="仿宋_GB2312" w:cs="仿宋_GB2312"/>
          <w:sz w:val="32"/>
          <w:szCs w:val="32"/>
          <w:lang w:val="en-US" w:eastAsia="zh-CN"/>
        </w:rPr>
        <w:t>顺利</w:t>
      </w:r>
      <w:r>
        <w:rPr>
          <w:rFonts w:hint="eastAsia" w:ascii="仿宋_GB2312" w:hAnsi="仿宋_GB2312" w:eastAsia="仿宋_GB2312" w:cs="仿宋_GB2312"/>
          <w:sz w:val="32"/>
          <w:szCs w:val="32"/>
        </w:rPr>
        <w:t>竣工验收。项目完成至今，未曾再次出现管道破裂渗透情况，且高位水箱保压良好，达到预期成效。</w:t>
      </w:r>
    </w:p>
    <w:p>
      <w:pPr>
        <w:spacing w:line="560" w:lineRule="exact"/>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2.浙江工商大学三号教学楼部分教室提升改造工程。</w:t>
      </w:r>
      <w:r>
        <w:rPr>
          <w:rFonts w:hint="eastAsia" w:ascii="仿宋_GB2312" w:hAnsi="仿宋_GB2312" w:eastAsia="仿宋_GB2312" w:cs="仿宋_GB2312"/>
          <w:sz w:val="32"/>
          <w:szCs w:val="32"/>
        </w:rPr>
        <w:t>为满足</w:t>
      </w:r>
      <w:r>
        <w:rPr>
          <w:rFonts w:hint="eastAsia" w:ascii="仿宋_GB2312" w:hAnsi="仿宋_GB2312" w:eastAsia="仿宋_GB2312" w:cs="仿宋_GB2312"/>
          <w:sz w:val="32"/>
          <w:szCs w:val="32"/>
          <w:lang w:val="en-US" w:eastAsia="zh-CN"/>
        </w:rPr>
        <w:t>教工路校区</w:t>
      </w:r>
      <w:r>
        <w:rPr>
          <w:rFonts w:hint="eastAsia" w:ascii="仿宋_GB2312" w:hAnsi="仿宋_GB2312" w:eastAsia="仿宋_GB2312" w:cs="仿宋_GB2312"/>
          <w:sz w:val="32"/>
          <w:szCs w:val="32"/>
        </w:rPr>
        <w:t>师生日常教学、学习需求，对教工路校区三号教学楼部分教室进行提升改造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eastAsia="zh-CN"/>
        </w:rPr>
        <w:t>包括墙面顶面粉刷、吊顶改造、卫生间整体改造、强弱电改造等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该项目</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中标价为</w:t>
      </w:r>
      <w:r>
        <w:rPr>
          <w:rFonts w:hint="eastAsia" w:ascii="仿宋_GB2312" w:hAnsi="仿宋_GB2312" w:eastAsia="仿宋_GB2312" w:cs="仿宋_GB2312"/>
          <w:sz w:val="32"/>
          <w:szCs w:val="32"/>
          <w:lang w:val="en-US" w:eastAsia="zh-CN"/>
        </w:rPr>
        <w:t>142.5</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已于2024年8月顺利竣工验收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现已投入使用，</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val="en-US" w:eastAsia="zh-CN"/>
        </w:rPr>
        <w:t>师生舒适温馨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教学、</w:t>
      </w:r>
      <w:r>
        <w:rPr>
          <w:rFonts w:hint="eastAsia" w:ascii="仿宋_GB2312" w:hAnsi="仿宋_GB2312" w:eastAsia="仿宋_GB2312" w:cs="仿宋_GB2312"/>
          <w:sz w:val="32"/>
          <w:szCs w:val="32"/>
        </w:rPr>
        <w:t>学习环境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获得广泛好评</w:t>
      </w:r>
      <w:r>
        <w:rPr>
          <w:rFonts w:hint="eastAsia" w:ascii="仿宋_GB2312" w:hAnsi="仿宋_GB2312" w:eastAsia="仿宋_GB2312" w:cs="仿宋_GB2312"/>
          <w:sz w:val="32"/>
          <w:szCs w:val="32"/>
        </w:rPr>
        <w:t>。</w:t>
      </w:r>
    </w:p>
    <w:p>
      <w:pPr>
        <w:spacing w:line="560" w:lineRule="exact"/>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3.浙江工商大学学生公寓提升改造工程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为助力两校区高水平协同驱动发展，教工路校区入住学生规模陡增，原学生公寓已无法满足学生入住要求，为解决床位不足问题，对教工路校区15、16幢学生公寓进行提升改造，主要包括室内墙面顶棚粉刷、强弱电改造、卫生间整体改造、屋面整体修漏等。该项目预算金额359万元，中标价为308万元，已于2024年8月顺利竣工验收。目前学生已于2024年9月顺利入住新寝室，获得广泛好评。</w:t>
      </w:r>
    </w:p>
    <w:p>
      <w:pPr>
        <w:spacing w:line="560" w:lineRule="exact"/>
        <w:ind w:firstLine="643"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.浙江工商大学202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年度毕业生寝室维修</w:t>
      </w:r>
      <w:r>
        <w:rPr>
          <w:rFonts w:hint="eastAsia" w:ascii="仿宋_GB2312" w:hAnsi="仿宋_GB2312" w:eastAsia="仿宋_GB2312" w:cs="仿宋_GB2312"/>
          <w:b/>
          <w:bCs/>
          <w:sz w:val="32"/>
          <w:szCs w:val="32"/>
          <w:lang w:val="en-US" w:eastAsia="zh-CN"/>
        </w:rPr>
        <w:t>工程</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为了改善宿舍环境，提升新生入住体验感，于202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年暑期对</w:t>
      </w:r>
      <w:r>
        <w:rPr>
          <w:rFonts w:hint="eastAsia" w:ascii="仿宋_GB2312" w:hAnsi="仿宋_GB2312" w:eastAsia="仿宋_GB2312" w:cs="仿宋_GB2312"/>
          <w:sz w:val="32"/>
          <w:szCs w:val="32"/>
          <w:lang w:val="en-US" w:eastAsia="zh-CN"/>
        </w:rPr>
        <w:t>下沙校区生活区</w:t>
      </w:r>
      <w:r>
        <w:rPr>
          <w:rFonts w:hint="eastAsia" w:ascii="仿宋_GB2312" w:hAnsi="仿宋_GB2312" w:eastAsia="仿宋_GB2312" w:cs="仿宋_GB2312"/>
          <w:sz w:val="32"/>
          <w:szCs w:val="32"/>
        </w:rPr>
        <w:t>共2000余间毕业生寝室进行了整体维修。主要包括寝室墙面粉刷、</w:t>
      </w:r>
      <w:r>
        <w:rPr>
          <w:rFonts w:hint="eastAsia" w:ascii="仿宋_GB2312" w:hAnsi="仿宋_GB2312" w:eastAsia="仿宋_GB2312" w:cs="仿宋_GB2312"/>
          <w:sz w:val="32"/>
          <w:szCs w:val="32"/>
          <w:lang w:val="en-US" w:eastAsia="zh-CN"/>
        </w:rPr>
        <w:t>厕所</w:t>
      </w:r>
      <w:r>
        <w:rPr>
          <w:rFonts w:hint="eastAsia" w:ascii="仿宋_GB2312" w:hAnsi="仿宋_GB2312" w:eastAsia="仿宋_GB2312" w:cs="仿宋_GB2312"/>
          <w:sz w:val="32"/>
          <w:szCs w:val="32"/>
        </w:rPr>
        <w:t>门更换、</w:t>
      </w:r>
      <w:r>
        <w:rPr>
          <w:rFonts w:hint="eastAsia" w:ascii="仿宋_GB2312" w:hAnsi="仿宋_GB2312" w:eastAsia="仿宋_GB2312" w:cs="仿宋_GB2312"/>
          <w:sz w:val="32"/>
          <w:szCs w:val="32"/>
          <w:lang w:val="en-US" w:eastAsia="zh-CN"/>
        </w:rPr>
        <w:t>厕所修漏</w:t>
      </w:r>
      <w:r>
        <w:rPr>
          <w:rFonts w:hint="eastAsia" w:ascii="仿宋_GB2312" w:hAnsi="仿宋_GB2312" w:eastAsia="仿宋_GB2312" w:cs="仿宋_GB2312"/>
          <w:sz w:val="32"/>
          <w:szCs w:val="32"/>
        </w:rPr>
        <w:t>、阳台纱门维修更换、阳台栏杆维修等。</w:t>
      </w:r>
      <w:r>
        <w:rPr>
          <w:rFonts w:hint="eastAsia" w:ascii="仿宋_GB2312" w:hAnsi="仿宋_GB2312" w:eastAsia="仿宋_GB2312" w:cs="仿宋_GB2312"/>
          <w:sz w:val="32"/>
          <w:szCs w:val="32"/>
          <w:lang w:val="en-US" w:eastAsia="zh-CN"/>
        </w:rPr>
        <w:t>钱江湾生活区</w:t>
      </w:r>
      <w:r>
        <w:rPr>
          <w:rFonts w:hint="eastAsia" w:ascii="仿宋_GB2312" w:hAnsi="仿宋_GB2312" w:eastAsia="仿宋_GB2312" w:cs="仿宋_GB2312"/>
          <w:sz w:val="32"/>
          <w:szCs w:val="32"/>
        </w:rPr>
        <w:t>预算金额</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中标价160万元，金沙港玉屏洲生活区预算金额116万元、中标价91万元，</w:t>
      </w:r>
      <w:r>
        <w:rPr>
          <w:rFonts w:hint="eastAsia" w:ascii="仿宋_GB2312" w:hAnsi="仿宋_GB2312" w:eastAsia="仿宋_GB2312" w:cs="仿宋_GB2312"/>
          <w:sz w:val="32"/>
          <w:szCs w:val="32"/>
        </w:rPr>
        <w:t>均在</w:t>
      </w:r>
      <w:r>
        <w:rPr>
          <w:rFonts w:hint="eastAsia" w:ascii="仿宋_GB2312" w:hAnsi="仿宋_GB2312" w:eastAsia="仿宋_GB2312" w:cs="仿宋_GB2312"/>
          <w:sz w:val="32"/>
          <w:szCs w:val="32"/>
          <w:lang w:val="en-US" w:eastAsia="zh-CN"/>
        </w:rPr>
        <w:t>2024年8月</w:t>
      </w:r>
      <w:r>
        <w:rPr>
          <w:rFonts w:hint="eastAsia" w:ascii="仿宋_GB2312" w:hAnsi="仿宋_GB2312" w:eastAsia="仿宋_GB2312" w:cs="仿宋_GB2312"/>
          <w:sz w:val="32"/>
          <w:szCs w:val="32"/>
        </w:rPr>
        <w:t>顺利完工并验收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2024年我部门加大创新力度，引进新型施工工艺，由墙面粉刷改为装配式无机预涂板上墙，用铁锈转换剂替代人工打磨，美观无味，降低成本，获得学生一致好评。</w:t>
      </w:r>
    </w:p>
    <w:p>
      <w:pPr>
        <w:spacing w:line="560" w:lineRule="exact"/>
        <w:ind w:firstLine="643" w:firstLineChars="200"/>
        <w:jc w:val="both"/>
        <w:rPr>
          <w:rFonts w:hint="eastAsia" w:ascii="仿宋_GB2312" w:hAnsi="仿宋_GB2312" w:eastAsia="仿宋_GB2312" w:cs="仿宋_GB2312"/>
          <w:sz w:val="32"/>
          <w:szCs w:val="32"/>
          <w:lang w:val="en-US" w:eastAsia="zh-CN"/>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.浙江工商大学金沙港玉屏洲供配电系统提升改造项目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为保障金沙港、玉屏洲生活区供配电系统良好运转，对该系统进行提升改造。</w:t>
      </w:r>
      <w:r>
        <w:rPr>
          <w:rFonts w:hint="eastAsia" w:ascii="仿宋_GB2312" w:hAnsi="仿宋_GB2312" w:eastAsia="仿宋_GB2312" w:cs="仿宋_GB2312"/>
          <w:sz w:val="32"/>
          <w:szCs w:val="32"/>
          <w:lang w:val="en-US" w:eastAsia="zh-CN"/>
        </w:rPr>
        <w:t>该项目预算金额132.66万元，中标价为118.8万元，已于2024年12月顺利竣工验收，目前系统使用安全良好。</w:t>
      </w:r>
    </w:p>
    <w:p>
      <w:pPr>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6.下沙校区“快乐校园”改造工程。</w:t>
      </w:r>
      <w:r>
        <w:rPr>
          <w:rFonts w:hint="eastAsia" w:ascii="仿宋_GB2312" w:hAnsi="仿宋_GB2312" w:eastAsia="仿宋_GB2312" w:cs="仿宋_GB2312"/>
          <w:b w:val="0"/>
          <w:bCs w:val="0"/>
          <w:sz w:val="32"/>
          <w:szCs w:val="32"/>
          <w:lang w:val="en-US" w:eastAsia="zh-CN"/>
        </w:rPr>
        <w:t>2024年3月我部门对蒹葭渚、商大花海等场地进行了电力设施改造，打造成“快乐校园”空间，为全校师生提供活泼温馨的活动空间，助力了十佳歌手复赛、萨塞克斯学院秋日露营迎新生等活动的成功举办。</w:t>
      </w:r>
    </w:p>
    <w:p>
      <w:pPr>
        <w:spacing w:line="560" w:lineRule="exact"/>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7.两校区运动场地改造工程。</w:t>
      </w:r>
      <w:r>
        <w:rPr>
          <w:rFonts w:hint="eastAsia" w:ascii="仿宋_GB2312" w:hAnsi="仿宋_GB2312" w:eastAsia="仿宋_GB2312" w:cs="仿宋_GB2312"/>
          <w:b w:val="0"/>
          <w:bCs w:val="0"/>
          <w:sz w:val="32"/>
          <w:szCs w:val="32"/>
          <w:lang w:val="en-US" w:eastAsia="zh-CN"/>
        </w:rPr>
        <w:t>两校区篮球场、排球场等室内外运动场地均存在地面破损、围栏老旧等情况，存在安全隐患。2024年逐步对下沙校区北运动场、教工路校区篮球场进行了翻新改造，极大提升了师生运动舒适度。</w:t>
      </w:r>
    </w:p>
    <w:p>
      <w:pPr>
        <w:spacing w:line="5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二、工作举措</w:t>
      </w:r>
    </w:p>
    <w:p>
      <w:pPr>
        <w:spacing w:line="5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（一）基本建设工作举措</w:t>
      </w:r>
    </w:p>
    <w:p>
      <w:pPr>
        <w:spacing w:line="560" w:lineRule="exact"/>
        <w:ind w:firstLine="57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1.高站位，基本建设工作紧紧围绕学校事业发展。</w:t>
      </w:r>
      <w:r>
        <w:rPr>
          <w:rFonts w:hint="eastAsia" w:ascii="仿宋_GB2312" w:hAnsi="仿宋_GB2312" w:eastAsia="仿宋_GB2312" w:cs="仿宋_GB2312"/>
          <w:sz w:val="32"/>
          <w:szCs w:val="32"/>
        </w:rPr>
        <w:t>根据学校“十四五”发展总体规划与校园建设专项规划，谋划并推进各基本建设项目实施。通过亚运场馆恢复工程建设，场馆周边各类设施得到改造、提升，进一步提高了学校办学条件，师生满意度也得以进一步增强。通过科创大楼建设，有效解决学校实验实训用房不足短板，为学校高水平大学建设提供更为扎实的硬件条件。通过研究生公寓建设，有效缓解学校目前存在的学生床位数不匹配实际招生学生数矛盾，使学校下沙校区各类校舍配建基本平衡，为学校总体规划中在校研究生人数达到9000人目标实现提供基础。通过实施教工路校区基础设施提质改造工程，实现学校双校区高水平协同驱动发展战略目标。</w:t>
      </w:r>
    </w:p>
    <w:p>
      <w:pPr>
        <w:spacing w:line="560" w:lineRule="exact"/>
        <w:ind w:firstLine="643" w:firstLineChars="200"/>
        <w:jc w:val="both"/>
        <w:rPr>
          <w:rFonts w:hint="eastAsia" w:ascii="仿宋_GB2312" w:hAnsi="仿宋_GB2312" w:eastAsia="仿宋_GB2312" w:cs="仿宋_GB2312"/>
          <w:color w:val="0000FF"/>
          <w:sz w:val="32"/>
          <w:szCs w:val="32"/>
        </w:rPr>
      </w:pPr>
      <w:r>
        <w:rPr>
          <w:rFonts w:hint="eastAsia" w:ascii="仿宋_GB2312" w:hAnsi="仿宋_GB2312" w:eastAsia="仿宋_GB2312" w:cs="仿宋_GB2312"/>
          <w:b/>
          <w:sz w:val="32"/>
          <w:szCs w:val="32"/>
        </w:rPr>
        <w:t>2.强推进，基本建设项目实施按计划进度实现。</w:t>
      </w:r>
      <w:r>
        <w:rPr>
          <w:rFonts w:hint="eastAsia" w:ascii="仿宋_GB2312" w:hAnsi="仿宋_GB2312" w:eastAsia="仿宋_GB2312" w:cs="仿宋_GB2312"/>
          <w:sz w:val="32"/>
          <w:szCs w:val="32"/>
        </w:rPr>
        <w:t>2024年，无论是科创大楼、研究生公寓在建工程，还是教工路校区的基建项目，实施推进呈现出时间紧、任务重的特点，通过统筹谋划，既定目标最终均得以实现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学校克服施工组织困难，督促施工单位加大投入，多次优化施工进度计划，于5月底执行完成全部8000万中央预算内资金，12月完成1800万地方政府一般债券资金、400万省公共建设资金的执行要求。截止12月底，项目已累计完成投资10399万元，顺利完成上级下达的年度建设任务。研究生公寓项目为省急迫优先项目，但项目建设的基础条件相对薄弱，尤其是受到预留地块施工场地的限制，临时占用绿地需向区行政审批局提出申请，施工道口开设更是需征得属地街道、交警、派出所、市政、综合执法等多个部门审批，此外，用电容量也需向电力部门申请增容解决。针对项目先天条件不足情况，通过部门统筹谋划，逐一推进解决，最终于2024年10月底前完成所有前期工作和施工准备，顺利实现开工建设。教工路校区基建项目陆续启动，建设地块的控制性规划调整是项目报批的重要前置性工作，因涉及容积率、绿地率、建筑限高、建筑密度等关键指标，审批周期长、难度大，经与属地街道、交警、规资等多个部门多次沟通协调，2024年底顺利形成控规调整方案，并向规资部门申请报批。期间，同步开展概念性方案与可行性研究报告编制，为缩短项目前期报批时间，尽早实现项目开工建设提供了有力条件。</w:t>
      </w:r>
    </w:p>
    <w:p>
      <w:pPr>
        <w:spacing w:line="560" w:lineRule="exact"/>
        <w:ind w:firstLine="57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3.重规范，各基本建设项目有序推进实施。</w:t>
      </w:r>
      <w:r>
        <w:rPr>
          <w:rFonts w:hint="eastAsia" w:ascii="仿宋_GB2312" w:hAnsi="仿宋_GB2312" w:eastAsia="仿宋_GB2312" w:cs="仿宋_GB2312"/>
          <w:sz w:val="32"/>
          <w:szCs w:val="32"/>
        </w:rPr>
        <w:t>基本建设项目推进实施上级有明确规定，各环节工作实施自成规律，实体建设过程中的投资、进度、质量及安全文明施工各方面均需进行系统把控。部门严格按照学校基本建设管理办法、基本建设资金管理办法、全过程审计办法等校内规章制度推进各基本建设项目实施。需要集体决策的重要事项，根据重要程度，分别提交部门工程建设会议、基础设施提质工程专题协调会、学校基建工作领导小组会议、学校校长办公会议与学校党委会议审定后实施，年度内共召开工程建设会议15次、基础设施提质工程专题协调会1次、基建工作领导小组会议7次，审议审定基本建设各事项</w:t>
      </w:r>
      <w:r>
        <w:rPr>
          <w:rFonts w:hint="eastAsia" w:ascii="仿宋_GB2312" w:hAnsi="仿宋_GB2312" w:eastAsia="仿宋_GB2312" w:cs="仿宋_GB2312"/>
          <w:color w:val="auto"/>
          <w:sz w:val="32"/>
          <w:szCs w:val="32"/>
        </w:rPr>
        <w:t>。</w:t>
      </w:r>
    </w:p>
    <w:p>
      <w:pPr>
        <w:spacing w:line="560" w:lineRule="exact"/>
        <w:ind w:firstLine="57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（二）维修改造工作举措</w:t>
      </w:r>
    </w:p>
    <w:p>
      <w:pPr>
        <w:pStyle w:val="17"/>
        <w:spacing w:line="560" w:lineRule="exact"/>
        <w:jc w:val="both"/>
        <w:rPr>
          <w:rFonts w:hint="default" w:ascii="仿宋_GB2312" w:hAnsi="仿宋_GB2312" w:eastAsia="仿宋_GB2312" w:cs="仿宋_GB2312"/>
          <w:b w:val="0"/>
          <w:bCs/>
          <w:lang w:val="en-US" w:eastAsia="zh-CN"/>
        </w:rPr>
      </w:pPr>
      <w:r>
        <w:rPr>
          <w:rFonts w:hint="eastAsia" w:ascii="仿宋_GB2312" w:hAnsi="仿宋_GB2312" w:eastAsia="仿宋_GB2312" w:cs="仿宋_GB2312"/>
          <w:lang w:val="en-US" w:eastAsia="zh-CN"/>
        </w:rPr>
        <w:t>1.谋定而动，成功申报“一校一策”项目</w:t>
      </w:r>
      <w:r>
        <w:rPr>
          <w:rFonts w:hint="eastAsia" w:ascii="仿宋_GB2312" w:hAnsi="仿宋_GB2312" w:eastAsia="仿宋_GB2312" w:cs="仿宋_GB2312"/>
          <w:lang w:eastAsia="zh-CN"/>
        </w:rPr>
        <w:t>。</w:t>
      </w:r>
      <w:r>
        <w:rPr>
          <w:rFonts w:hint="eastAsia" w:ascii="仿宋_GB2312" w:hAnsi="仿宋_GB2312" w:eastAsia="仿宋_GB2312" w:cs="仿宋_GB2312"/>
          <w:b w:val="0"/>
          <w:bCs/>
          <w:lang w:val="en-US" w:eastAsia="zh-CN"/>
        </w:rPr>
        <w:t>年初</w:t>
      </w:r>
      <w:r>
        <w:rPr>
          <w:rFonts w:hint="eastAsia" w:ascii="仿宋_GB2312" w:hAnsi="仿宋_GB2312" w:eastAsia="仿宋_GB2312" w:cs="仿宋_GB2312"/>
          <w:b w:val="0"/>
          <w:bCs/>
          <w:lang w:eastAsia="zh-CN"/>
        </w:rPr>
        <w:t>建立学校维修改造项目库，共统计汇总项目64项，总金额87607万元，按照安全等级、轻重缓急程度排序，做到“心中有数”，稳步开展维修改造工作。</w:t>
      </w:r>
      <w:r>
        <w:rPr>
          <w:rFonts w:hint="eastAsia" w:ascii="仿宋_GB2312" w:hAnsi="仿宋_GB2312" w:eastAsia="仿宋_GB2312" w:cs="仿宋_GB2312"/>
          <w:b w:val="0"/>
          <w:bCs/>
          <w:lang w:val="en-US" w:eastAsia="zh-CN"/>
        </w:rPr>
        <w:t>并成功申报2024、2025年度“一校一策”项目5个，获得2024年度财政补贴987万元，2025年度财政补贴1019万元。</w:t>
      </w:r>
    </w:p>
    <w:p>
      <w:pPr>
        <w:pStyle w:val="17"/>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val="0"/>
          <w:lang w:val="en-US" w:eastAsia="zh-CN"/>
        </w:rPr>
        <w:t>2.创新突破，引进新型施工工艺。</w:t>
      </w:r>
      <w:r>
        <w:rPr>
          <w:rFonts w:hint="eastAsia" w:ascii="仿宋_GB2312" w:hAnsi="仿宋_GB2312" w:eastAsia="仿宋_GB2312" w:cs="仿宋_GB2312"/>
          <w:b w:val="0"/>
          <w:bCs/>
          <w:lang w:val="en-US" w:eastAsia="zh-CN"/>
        </w:rPr>
        <w:t>在下沙校区毕业生寝室维修工程中，由粉刷墙面改为装配式无机预涂板上墙、用铁锈转换剂替代人工打磨栏杆铁锈等，工艺美观、无味、便于实施，大大降低成本，获得学生好评，将广泛运用于未来项目中。</w:t>
      </w:r>
    </w:p>
    <w:p>
      <w:pPr>
        <w:pStyle w:val="17"/>
        <w:spacing w:line="560" w:lineRule="exact"/>
        <w:jc w:val="both"/>
        <w:rPr>
          <w:rFonts w:hint="eastAsia" w:ascii="仿宋_GB2312" w:hAnsi="仿宋_GB2312" w:eastAsia="仿宋_GB2312" w:cs="仿宋_GB2312"/>
          <w:b w:val="0"/>
        </w:rPr>
      </w:pPr>
      <w:r>
        <w:rPr>
          <w:rFonts w:hint="eastAsia" w:ascii="仿宋_GB2312" w:hAnsi="仿宋_GB2312" w:eastAsia="仿宋_GB2312" w:cs="仿宋_GB2312"/>
          <w:lang w:val="en-US" w:eastAsia="zh-CN"/>
        </w:rPr>
        <w:t>3.科学把控，</w:t>
      </w:r>
      <w:r>
        <w:rPr>
          <w:rFonts w:hint="eastAsia" w:ascii="仿宋_GB2312" w:hAnsi="仿宋_GB2312" w:eastAsia="仿宋_GB2312" w:cs="仿宋_GB2312"/>
        </w:rPr>
        <w:t>强化</w:t>
      </w:r>
      <w:r>
        <w:rPr>
          <w:rFonts w:hint="eastAsia" w:ascii="仿宋_GB2312" w:hAnsi="仿宋_GB2312" w:eastAsia="仿宋_GB2312" w:cs="仿宋_GB2312"/>
          <w:lang w:val="en-US" w:eastAsia="zh-CN"/>
        </w:rPr>
        <w:t>施工</w:t>
      </w:r>
      <w:r>
        <w:rPr>
          <w:rFonts w:hint="eastAsia" w:ascii="仿宋_GB2312" w:hAnsi="仿宋_GB2312" w:eastAsia="仿宋_GB2312" w:cs="仿宋_GB2312"/>
        </w:rPr>
        <w:t>过程管理。</w:t>
      </w:r>
      <w:r>
        <w:rPr>
          <w:rFonts w:hint="eastAsia" w:ascii="仿宋_GB2312" w:hAnsi="仿宋_GB2312" w:eastAsia="仿宋_GB2312" w:cs="仿宋_GB2312"/>
          <w:b w:val="0"/>
        </w:rPr>
        <w:t>坚持具体问题具体分析，对每项重点工程进行重、难点分析，延续“一周三报综合分析”管理模式，针对</w:t>
      </w:r>
      <w:r>
        <w:rPr>
          <w:rFonts w:hint="eastAsia" w:ascii="仿宋_GB2312" w:hAnsi="仿宋_GB2312" w:eastAsia="仿宋_GB2312" w:cs="仿宋_GB2312"/>
          <w:b w:val="0"/>
          <w:lang w:val="en-US" w:eastAsia="zh-CN"/>
        </w:rPr>
        <w:t>2024年度</w:t>
      </w:r>
      <w:r>
        <w:rPr>
          <w:rFonts w:hint="eastAsia" w:ascii="仿宋_GB2312" w:hAnsi="仿宋_GB2312" w:eastAsia="仿宋_GB2312" w:cs="仿宋_GB2312"/>
          <w:b w:val="0"/>
        </w:rPr>
        <w:t>教工路校区振兴计划提出针对性管理措施，编制“项目进度偏差动态汇总表”，采用科学适用的统计逻辑，将项目完成比例、进度偏差情况以更为清晰直观、简洁动态的图表呈现，使管理人员更高效</w:t>
      </w:r>
      <w:r>
        <w:rPr>
          <w:rFonts w:hint="eastAsia" w:ascii="仿宋_GB2312" w:hAnsi="仿宋_GB2312" w:eastAsia="仿宋_GB2312" w:cs="仿宋_GB2312"/>
          <w:b w:val="0"/>
          <w:lang w:val="en-US" w:eastAsia="zh-CN"/>
        </w:rPr>
        <w:t>地</w:t>
      </w:r>
      <w:r>
        <w:rPr>
          <w:rFonts w:hint="eastAsia" w:ascii="仿宋_GB2312" w:hAnsi="仿宋_GB2312" w:eastAsia="仿宋_GB2312" w:cs="仿宋_GB2312"/>
          <w:b w:val="0"/>
        </w:rPr>
        <w:t>采取纠偏措施，以科学思路解决实际问题。</w:t>
      </w:r>
    </w:p>
    <w:p>
      <w:pPr>
        <w:spacing w:line="560" w:lineRule="exact"/>
        <w:ind w:left="0" w:leftChars="0" w:firstLine="643"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4.提质增效，加强双线资料管控。</w:t>
      </w:r>
      <w:r>
        <w:rPr>
          <w:rFonts w:hint="eastAsia" w:ascii="仿宋_GB2312" w:hAnsi="仿宋_GB2312" w:eastAsia="仿宋_GB2312" w:cs="仿宋_GB2312"/>
          <w:b w:val="0"/>
          <w:kern w:val="2"/>
          <w:sz w:val="32"/>
          <w:szCs w:val="32"/>
          <w:lang w:val="en-US" w:eastAsia="zh-CN" w:bidi="ar-SA"/>
        </w:rPr>
        <w:t>2024年后勤中心多次与审计处沟通交流，相互促进送审资料完整性衔接，摒弃多次补充审计证明材料的原做法，总结出“电子资料管控目录”，通过双线资料管控，全面提升送审效率，做到送审资料“一次”报送。</w:t>
      </w:r>
    </w:p>
    <w:p>
      <w:pPr>
        <w:spacing w:line="560" w:lineRule="exac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br w:type="page"/>
      </w:r>
    </w:p>
    <w:p>
      <w:pPr>
        <w:bidi w:val="0"/>
        <w:spacing w:line="660" w:lineRule="exact"/>
        <w:ind w:firstLine="0" w:firstLineChars="0"/>
        <w:jc w:val="center"/>
        <w:rPr>
          <w:rFonts w:ascii="方正小标宋简体" w:hAnsi="Times New Roman" w:eastAsia="方正小标宋简体" w:cs="Times New Roman"/>
          <w:b/>
          <w:sz w:val="44"/>
          <w:szCs w:val="44"/>
        </w:rPr>
      </w:pPr>
      <w:bookmarkStart w:id="29" w:name="_Toc5262943"/>
      <w:bookmarkStart w:id="30" w:name="_Toc103345072"/>
      <w:r>
        <w:rPr>
          <w:rFonts w:hint="eastAsia" w:ascii="方正小标宋简体" w:hAnsi="Times New Roman" w:eastAsia="方正小标宋简体" w:cs="Times New Roman"/>
          <w:b/>
          <w:sz w:val="44"/>
          <w:szCs w:val="44"/>
        </w:rPr>
        <w:t>2024年住房购置与货币化分房、</w:t>
      </w:r>
      <w:bookmarkStart w:id="31" w:name="_Toc4139"/>
      <w:bookmarkStart w:id="32" w:name="_Toc480461437"/>
      <w:bookmarkStart w:id="33" w:name="_Toc510517464"/>
    </w:p>
    <w:p>
      <w:pPr>
        <w:bidi w:val="0"/>
        <w:spacing w:line="660" w:lineRule="exact"/>
        <w:ind w:firstLine="1325" w:firstLineChars="300"/>
        <w:jc w:val="both"/>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教职工宿舍</w:t>
      </w:r>
      <w:bookmarkEnd w:id="29"/>
      <w:bookmarkStart w:id="34" w:name="_Toc16159"/>
      <w:bookmarkStart w:id="35" w:name="_Toc5089735"/>
      <w:r>
        <w:rPr>
          <w:rFonts w:hint="eastAsia" w:ascii="方正小标宋简体" w:hAnsi="Times New Roman" w:eastAsia="方正小标宋简体" w:cs="Times New Roman"/>
          <w:b/>
          <w:sz w:val="44"/>
          <w:szCs w:val="44"/>
        </w:rPr>
        <w:t>租用工作公开报告</w:t>
      </w:r>
      <w:bookmarkEnd w:id="30"/>
      <w:bookmarkEnd w:id="31"/>
      <w:bookmarkEnd w:id="32"/>
      <w:bookmarkEnd w:id="33"/>
      <w:bookmarkEnd w:id="34"/>
      <w:bookmarkEnd w:id="35"/>
    </w:p>
    <w:p>
      <w:pPr>
        <w:widowControl w:val="0"/>
        <w:spacing w:line="560" w:lineRule="exact"/>
        <w:ind w:firstLine="640" w:firstLineChars="200"/>
        <w:jc w:val="left"/>
        <w:rPr>
          <w:rFonts w:ascii="黑体" w:hAnsi="黑体" w:eastAsia="黑体" w:cs="黑体"/>
          <w:b w:val="0"/>
          <w:bCs/>
          <w:kern w:val="2"/>
          <w:sz w:val="32"/>
          <w:szCs w:val="32"/>
          <w:lang w:val="en-US" w:eastAsia="zh-CN" w:bidi="ar-SA"/>
        </w:rPr>
      </w:pPr>
    </w:p>
    <w:p>
      <w:pPr>
        <w:widowControl w:val="0"/>
        <w:spacing w:line="560" w:lineRule="exact"/>
        <w:ind w:firstLine="640" w:firstLineChars="200"/>
        <w:jc w:val="both"/>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一、基本情况</w:t>
      </w:r>
    </w:p>
    <w:p>
      <w:pPr>
        <w:bidi w:val="0"/>
        <w:spacing w:line="560" w:lineRule="exact"/>
        <w:ind w:firstLine="643"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（一）货币化分房</w:t>
      </w:r>
    </w:p>
    <w:p>
      <w:pPr>
        <w:bidi w:val="0"/>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2024年度，完成52位引进人才的购房补贴启动工作；完成116名教职工的住房货币补贴（含一次性补贴和住房公积金补贴）新申请或职级晋升调整工作；并协助杭州商学院审核申报。</w:t>
      </w:r>
    </w:p>
    <w:p>
      <w:pPr>
        <w:bidi w:val="0"/>
        <w:spacing w:line="560" w:lineRule="exact"/>
        <w:ind w:firstLine="643"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（二）教职工宿舍租用</w:t>
      </w:r>
    </w:p>
    <w:p>
      <w:pPr>
        <w:bidi w:val="0"/>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2024年度，受理学校周转房（含市区套房、丽泽苑教职工宿舍、校内教职工集体宿舍）入住申请共计119人次；办理退宿113人次。</w:t>
      </w:r>
    </w:p>
    <w:p>
      <w:pPr>
        <w:bidi w:val="0"/>
        <w:spacing w:line="56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（三）住房购置</w:t>
      </w:r>
    </w:p>
    <w:p>
      <w:pPr>
        <w:widowControl w:val="0"/>
        <w:spacing w:after="120"/>
        <w:ind w:left="0" w:leftChars="0" w:firstLine="640"/>
        <w:jc w:val="both"/>
        <w:rPr>
          <w:rFonts w:ascii="Calibri" w:hAnsi="Calibri" w:eastAsia="宋体" w:cs="Times New Roman"/>
          <w:kern w:val="2"/>
          <w:sz w:val="21"/>
          <w:szCs w:val="24"/>
          <w:lang w:val="en-US" w:eastAsia="zh-CN" w:bidi="ar-SA"/>
        </w:rPr>
      </w:pPr>
      <w:r>
        <w:rPr>
          <w:rFonts w:hint="eastAsia" w:ascii="仿宋_GB2312" w:hAnsi="宋体" w:eastAsia="仿宋_GB2312" w:cs="Times New Roman"/>
          <w:kern w:val="2"/>
          <w:sz w:val="32"/>
          <w:szCs w:val="32"/>
          <w:lang w:val="en-US" w:eastAsia="zh-CN" w:bidi="ar-SA"/>
        </w:rPr>
        <w:t>2024年度，受理专用房申购申请0人次。</w:t>
      </w:r>
    </w:p>
    <w:p>
      <w:pPr>
        <w:widowControl w:val="0"/>
        <w:spacing w:line="560" w:lineRule="exact"/>
        <w:ind w:firstLine="640" w:firstLineChars="200"/>
        <w:jc w:val="both"/>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二、工作措施</w:t>
      </w:r>
    </w:p>
    <w:p>
      <w:pPr>
        <w:bidi w:val="0"/>
        <w:spacing w:line="560" w:lineRule="exact"/>
        <w:ind w:firstLine="643"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（一）货币化分房公开措施</w:t>
      </w:r>
    </w:p>
    <w:p>
      <w:pPr>
        <w:bidi w:val="0"/>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依据：《关于省直财政补助事业单位职工住房补贴发放工作的实施意见》（浙财综字〔2007〕96号）、浙江省省直属单位住房改革委员会《关于住房公积金补贴发放有关规定的通知》（浙直房发〔2002〕5号）、《浙江省省直属单位（杭州市市区）住房补贴资金筹集、拨付和管理暂行办法》（省直房发〔2001〕1号）及学校相关会议纪要决议等有关文件。</w:t>
      </w:r>
    </w:p>
    <w:p>
      <w:pPr>
        <w:bidi w:val="0"/>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公开措施：根据上级文件要求和学校相关文件精神，2024年5月和9月，通过校内办公网、公共事务管理处微信公众号和师生之家微信公众号等多口径分别发布《关于办理2024年度住房公积金补贴晋升调整的通知》和《关于办理2024年度一次性住房货币补贴和住房公积金补贴新申请的通知》，及时向教职工公开各类补贴申请程序及要求；并严格审核申请材料，通过公示后上报上级主管部门审批。</w:t>
      </w:r>
    </w:p>
    <w:p>
      <w:pPr>
        <w:bidi w:val="0"/>
        <w:spacing w:line="560" w:lineRule="exact"/>
        <w:ind w:firstLine="643"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（二）教职工宿舍租用公开措施</w:t>
      </w:r>
    </w:p>
    <w:p>
      <w:pPr>
        <w:bidi w:val="0"/>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每月，通过校内办公网发布《周转房申请人员名单公示》，对申请情况进行公示，接受全校监督。</w:t>
      </w:r>
    </w:p>
    <w:p>
      <w:pPr>
        <w:bidi w:val="0"/>
        <w:spacing w:line="560" w:lineRule="exact"/>
        <w:ind w:firstLine="643"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（三）住房购置公开措施</w:t>
      </w:r>
    </w:p>
    <w:p>
      <w:pPr>
        <w:bidi w:val="0"/>
        <w:spacing w:line="240" w:lineRule="auto"/>
        <w:ind w:firstLine="640" w:firstLineChars="200"/>
        <w:jc w:val="both"/>
        <w:rPr>
          <w:rFonts w:ascii="Calibri" w:hAnsi="Calibri" w:eastAsia="宋体"/>
          <w:sz w:val="21"/>
          <w:szCs w:val="22"/>
        </w:rPr>
      </w:pPr>
      <w:r>
        <w:rPr>
          <w:rFonts w:hint="eastAsia" w:ascii="仿宋_GB2312" w:hAnsi="宋体" w:eastAsia="仿宋_GB2312"/>
          <w:sz w:val="32"/>
          <w:szCs w:val="32"/>
        </w:rPr>
        <w:t>严格执行上级售房办法和学校相关文件决议，审核申请人购房资格，并按照规定程序在校内办公网公示申请人相关信息，接受全校监督。</w:t>
      </w:r>
    </w:p>
    <w:p>
      <w:pPr>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br w:type="page"/>
      </w:r>
    </w:p>
    <w:p>
      <w:pPr>
        <w:spacing w:afterLines="100" w:line="360" w:lineRule="auto"/>
        <w:ind w:firstLine="0"/>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2024年出租房管理工作公开报告</w:t>
      </w:r>
    </w:p>
    <w:p>
      <w:pPr>
        <w:pStyle w:val="17"/>
        <w:ind w:firstLine="640"/>
        <w:rPr>
          <w:rFonts w:ascii="黑体" w:hAnsi="黑体" w:eastAsia="黑体" w:cs="黑体"/>
          <w:b w:val="0"/>
          <w:bCs/>
        </w:rPr>
      </w:pPr>
      <w:r>
        <w:rPr>
          <w:rFonts w:ascii="黑体" w:hAnsi="黑体" w:eastAsia="黑体" w:cs="黑体"/>
          <w:b w:val="0"/>
          <w:bCs/>
        </w:rPr>
        <w:t>一、基本情况</w:t>
      </w:r>
    </w:p>
    <w:p>
      <w:pPr>
        <w:spacing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浙江工商大学出租房分布在教工路和下沙两个校区，总建筑面积</w:t>
      </w:r>
      <w:r>
        <w:rPr>
          <w:rFonts w:ascii="仿宋_GB2312" w:hAnsi="宋体" w:eastAsia="仿宋_GB2312" w:cs="Times New Roman"/>
          <w:sz w:val="32"/>
          <w:szCs w:val="32"/>
        </w:rPr>
        <w:t>81791.55</w:t>
      </w:r>
      <w:r>
        <w:rPr>
          <w:rFonts w:hint="eastAsia" w:ascii="仿宋_GB2312" w:hAnsi="宋体" w:eastAsia="仿宋_GB2312" w:cs="Times New Roman"/>
          <w:sz w:val="32"/>
          <w:szCs w:val="32"/>
        </w:rPr>
        <w:t>平方米，其中教工路校区</w:t>
      </w:r>
      <w:r>
        <w:rPr>
          <w:rFonts w:ascii="仿宋_GB2312" w:hAnsi="宋体" w:eastAsia="仿宋_GB2312" w:cs="Times New Roman"/>
          <w:sz w:val="32"/>
          <w:szCs w:val="32"/>
        </w:rPr>
        <w:t>63984.51</w:t>
      </w:r>
      <w:r>
        <w:rPr>
          <w:rFonts w:hint="eastAsia" w:ascii="仿宋_GB2312" w:hAnsi="宋体" w:eastAsia="仿宋_GB2312" w:cs="Times New Roman"/>
          <w:sz w:val="32"/>
          <w:szCs w:val="32"/>
        </w:rPr>
        <w:t>平方米，下沙校区</w:t>
      </w:r>
      <w:r>
        <w:rPr>
          <w:rFonts w:ascii="仿宋_GB2312" w:hAnsi="宋体" w:eastAsia="仿宋_GB2312" w:cs="Times New Roman"/>
          <w:sz w:val="32"/>
          <w:szCs w:val="32"/>
        </w:rPr>
        <w:t>17807.04</w:t>
      </w:r>
      <w:r>
        <w:rPr>
          <w:rFonts w:hint="eastAsia" w:ascii="仿宋_GB2312" w:hAnsi="宋体" w:eastAsia="仿宋_GB2312" w:cs="Times New Roman"/>
          <w:sz w:val="32"/>
          <w:szCs w:val="32"/>
        </w:rPr>
        <w:t>平方米。2024年全年实际累计完成租金收入5155.25923万元。其中：沿街出租房租金4814.59917万元；校内有偿使用费340.66006万元。全年未发生租金拖欠、拒付等情况。</w:t>
      </w:r>
    </w:p>
    <w:p>
      <w:pPr>
        <w:pStyle w:val="17"/>
        <w:ind w:firstLine="640"/>
        <w:jc w:val="both"/>
        <w:rPr>
          <w:rFonts w:ascii="黑体" w:hAnsi="黑体" w:eastAsia="黑体" w:cs="黑体"/>
          <w:b w:val="0"/>
          <w:bCs/>
        </w:rPr>
      </w:pPr>
      <w:r>
        <w:rPr>
          <w:rFonts w:ascii="黑体" w:hAnsi="黑体" w:eastAsia="黑体" w:cs="黑体"/>
          <w:b w:val="0"/>
          <w:bCs/>
        </w:rPr>
        <w:t>二、工作措施</w:t>
      </w:r>
    </w:p>
    <w:p>
      <w:pPr>
        <w:spacing w:line="560" w:lineRule="exact"/>
        <w:ind w:firstLine="643" w:firstLineChars="200"/>
        <w:jc w:val="both"/>
        <w:rPr>
          <w:rFonts w:ascii="楷体_GB2312" w:hAnsi="楷体" w:eastAsia="楷体_GB2312" w:cs="楷体"/>
          <w:b/>
          <w:bCs/>
          <w:sz w:val="32"/>
          <w:szCs w:val="32"/>
        </w:rPr>
      </w:pPr>
      <w:r>
        <w:rPr>
          <w:rFonts w:ascii="楷体_GB2312" w:hAnsi="楷体" w:eastAsia="楷体_GB2312" w:cs="楷体"/>
          <w:b/>
          <w:bCs/>
          <w:sz w:val="32"/>
          <w:szCs w:val="32"/>
        </w:rPr>
        <w:t>1.</w:t>
      </w:r>
      <w:r>
        <w:rPr>
          <w:rFonts w:hint="eastAsia" w:ascii="楷体_GB2312" w:hAnsi="楷体" w:eastAsia="楷体_GB2312" w:cs="楷体"/>
          <w:b/>
          <w:bCs/>
          <w:sz w:val="32"/>
          <w:szCs w:val="32"/>
        </w:rPr>
        <w:t>盘活校内</w:t>
      </w:r>
      <w:r>
        <w:rPr>
          <w:rFonts w:ascii="楷体_GB2312" w:hAnsi="楷体" w:eastAsia="楷体_GB2312" w:cs="楷体"/>
          <w:b/>
          <w:bCs/>
          <w:sz w:val="32"/>
          <w:szCs w:val="32"/>
        </w:rPr>
        <w:t>资源</w:t>
      </w:r>
      <w:r>
        <w:rPr>
          <w:rFonts w:hint="eastAsia" w:ascii="楷体_GB2312" w:hAnsi="楷体" w:eastAsia="楷体_GB2312" w:cs="楷体"/>
          <w:b/>
          <w:bCs/>
          <w:sz w:val="32"/>
          <w:szCs w:val="32"/>
        </w:rPr>
        <w:t>，做好招租工作</w:t>
      </w:r>
    </w:p>
    <w:p>
      <w:pPr>
        <w:spacing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全年</w:t>
      </w:r>
      <w:r>
        <w:rPr>
          <w:rFonts w:ascii="仿宋_GB2312" w:hAnsi="宋体" w:eastAsia="仿宋_GB2312" w:cs="Times New Roman"/>
          <w:sz w:val="32"/>
          <w:szCs w:val="32"/>
        </w:rPr>
        <w:t>累计</w:t>
      </w:r>
      <w:r>
        <w:rPr>
          <w:rFonts w:hint="eastAsia" w:ascii="仿宋_GB2312" w:hAnsi="宋体" w:eastAsia="仿宋_GB2312" w:cs="Times New Roman"/>
          <w:sz w:val="32"/>
          <w:szCs w:val="32"/>
        </w:rPr>
        <w:t>房产租金评估</w:t>
      </w:r>
      <w:r>
        <w:rPr>
          <w:rFonts w:ascii="仿宋_GB2312" w:hAnsi="宋体" w:eastAsia="仿宋_GB2312" w:cs="Times New Roman"/>
          <w:sz w:val="32"/>
          <w:szCs w:val="32"/>
        </w:rPr>
        <w:t>10</w:t>
      </w:r>
      <w:r>
        <w:rPr>
          <w:rFonts w:hint="eastAsia" w:ascii="仿宋_GB2312" w:hAnsi="宋体" w:eastAsia="仿宋_GB2312" w:cs="Times New Roman"/>
          <w:sz w:val="32"/>
          <w:szCs w:val="32"/>
        </w:rPr>
        <w:t>批，涉及出租房</w:t>
      </w:r>
      <w:r>
        <w:rPr>
          <w:rFonts w:ascii="仿宋_GB2312" w:hAnsi="宋体" w:eastAsia="仿宋_GB2312" w:cs="Times New Roman"/>
          <w:sz w:val="32"/>
          <w:szCs w:val="32"/>
        </w:rPr>
        <w:t>61</w:t>
      </w:r>
      <w:r>
        <w:rPr>
          <w:rFonts w:hint="eastAsia" w:ascii="仿宋_GB2312" w:hAnsi="宋体" w:eastAsia="仿宋_GB2312" w:cs="Times New Roman"/>
          <w:sz w:val="32"/>
          <w:szCs w:val="32"/>
        </w:rPr>
        <w:t>处；完成房产出租申报</w:t>
      </w:r>
      <w:r>
        <w:rPr>
          <w:rFonts w:ascii="仿宋_GB2312" w:hAnsi="宋体" w:eastAsia="仿宋_GB2312" w:cs="Times New Roman"/>
          <w:sz w:val="32"/>
          <w:szCs w:val="32"/>
        </w:rPr>
        <w:t>6</w:t>
      </w:r>
      <w:r>
        <w:rPr>
          <w:rFonts w:hint="eastAsia" w:ascii="仿宋_GB2312" w:hAnsi="宋体" w:eastAsia="仿宋_GB2312" w:cs="Times New Roman"/>
          <w:sz w:val="32"/>
          <w:szCs w:val="32"/>
        </w:rPr>
        <w:t>批（含2次</w:t>
      </w:r>
      <w:r>
        <w:rPr>
          <w:rFonts w:ascii="仿宋_GB2312" w:hAnsi="宋体" w:eastAsia="仿宋_GB2312" w:cs="Times New Roman"/>
          <w:sz w:val="32"/>
          <w:szCs w:val="32"/>
        </w:rPr>
        <w:t>临时出租</w:t>
      </w:r>
      <w:r>
        <w:rPr>
          <w:rFonts w:hint="eastAsia" w:ascii="仿宋_GB2312" w:hAnsi="宋体" w:eastAsia="仿宋_GB2312" w:cs="Times New Roman"/>
          <w:sz w:val="32"/>
          <w:szCs w:val="32"/>
        </w:rPr>
        <w:t>），涉及出租审批单</w:t>
      </w:r>
      <w:r>
        <w:rPr>
          <w:rFonts w:ascii="仿宋_GB2312" w:hAnsi="宋体" w:eastAsia="仿宋_GB2312" w:cs="Times New Roman"/>
          <w:sz w:val="32"/>
          <w:szCs w:val="32"/>
        </w:rPr>
        <w:t>98</w:t>
      </w:r>
      <w:r>
        <w:rPr>
          <w:rFonts w:hint="eastAsia" w:ascii="仿宋_GB2312" w:hAnsi="宋体" w:eastAsia="仿宋_GB2312" w:cs="Times New Roman"/>
          <w:sz w:val="32"/>
          <w:szCs w:val="32"/>
        </w:rPr>
        <w:t>个，</w:t>
      </w:r>
      <w:r>
        <w:rPr>
          <w:rFonts w:ascii="仿宋_GB2312" w:hAnsi="宋体" w:eastAsia="仿宋_GB2312" w:cs="Times New Roman"/>
          <w:sz w:val="32"/>
          <w:szCs w:val="32"/>
        </w:rPr>
        <w:t>临时出租</w:t>
      </w:r>
      <w:r>
        <w:rPr>
          <w:rFonts w:hint="eastAsia" w:ascii="仿宋_GB2312" w:hAnsi="宋体" w:eastAsia="仿宋_GB2312" w:cs="Times New Roman"/>
          <w:sz w:val="32"/>
          <w:szCs w:val="32"/>
        </w:rPr>
        <w:t>审批单6个；完成1</w:t>
      </w:r>
      <w:r>
        <w:rPr>
          <w:rFonts w:ascii="仿宋_GB2312" w:hAnsi="宋体" w:eastAsia="仿宋_GB2312" w:cs="Times New Roman"/>
          <w:sz w:val="32"/>
          <w:szCs w:val="32"/>
        </w:rPr>
        <w:t>4</w:t>
      </w:r>
      <w:r>
        <w:rPr>
          <w:rFonts w:hint="eastAsia" w:ascii="仿宋_GB2312" w:hAnsi="宋体" w:eastAsia="仿宋_GB2312" w:cs="Times New Roman"/>
          <w:sz w:val="32"/>
          <w:szCs w:val="32"/>
        </w:rPr>
        <w:t>批次出租房招租工作，实际</w:t>
      </w:r>
      <w:r>
        <w:rPr>
          <w:rFonts w:ascii="仿宋_GB2312" w:hAnsi="宋体" w:eastAsia="仿宋_GB2312" w:cs="Times New Roman"/>
          <w:sz w:val="32"/>
          <w:szCs w:val="32"/>
        </w:rPr>
        <w:t>成交</w:t>
      </w:r>
      <w:r>
        <w:rPr>
          <w:rFonts w:hint="eastAsia" w:ascii="仿宋_GB2312" w:hAnsi="宋体" w:eastAsia="仿宋_GB2312" w:cs="Times New Roman"/>
          <w:sz w:val="32"/>
          <w:szCs w:val="32"/>
        </w:rPr>
        <w:t>地址31处。</w:t>
      </w:r>
      <w:r>
        <w:rPr>
          <w:rFonts w:ascii="仿宋_GB2312" w:hAnsi="宋体" w:eastAsia="仿宋_GB2312" w:cs="Times New Roman"/>
          <w:sz w:val="32"/>
          <w:szCs w:val="32"/>
        </w:rPr>
        <w:t>教工路校区新增科技楼、2号教学楼、东院印刷厂等15处出租房屋，合计增加面积1548.7平方米。</w:t>
      </w:r>
    </w:p>
    <w:p>
      <w:pPr>
        <w:spacing w:line="560" w:lineRule="exact"/>
        <w:ind w:firstLine="643" w:firstLineChars="200"/>
        <w:jc w:val="both"/>
        <w:rPr>
          <w:rFonts w:ascii="楷体_GB2312" w:hAnsi="楷体" w:eastAsia="楷体_GB2312" w:cs="楷体"/>
          <w:b/>
          <w:bCs/>
          <w:sz w:val="32"/>
          <w:szCs w:val="32"/>
        </w:rPr>
      </w:pPr>
      <w:r>
        <w:rPr>
          <w:rFonts w:ascii="楷体_GB2312" w:hAnsi="楷体" w:eastAsia="楷体_GB2312" w:cs="楷体"/>
          <w:b/>
          <w:bCs/>
          <w:sz w:val="32"/>
          <w:szCs w:val="32"/>
        </w:rPr>
        <w:t>2.聚焦</w:t>
      </w:r>
      <w:r>
        <w:rPr>
          <w:rFonts w:hint="eastAsia" w:ascii="楷体_GB2312" w:hAnsi="楷体" w:eastAsia="楷体_GB2312" w:cs="楷体"/>
          <w:b/>
          <w:bCs/>
          <w:sz w:val="32"/>
          <w:szCs w:val="32"/>
        </w:rPr>
        <w:t>师生需求</w:t>
      </w:r>
      <w:r>
        <w:rPr>
          <w:rFonts w:ascii="楷体_GB2312" w:hAnsi="楷体" w:eastAsia="楷体_GB2312" w:cs="楷体"/>
          <w:b/>
          <w:bCs/>
          <w:sz w:val="32"/>
          <w:szCs w:val="32"/>
        </w:rPr>
        <w:t>，</w:t>
      </w:r>
      <w:r>
        <w:rPr>
          <w:rFonts w:hint="eastAsia" w:ascii="楷体_GB2312" w:hAnsi="楷体" w:eastAsia="楷体_GB2312" w:cs="楷体"/>
          <w:b/>
          <w:bCs/>
          <w:sz w:val="32"/>
          <w:szCs w:val="32"/>
        </w:rPr>
        <w:t>提供贴心服务</w:t>
      </w:r>
    </w:p>
    <w:p>
      <w:pPr>
        <w:spacing w:line="560" w:lineRule="exact"/>
        <w:ind w:firstLine="640" w:firstLineChars="200"/>
        <w:jc w:val="both"/>
        <w:rPr>
          <w:rFonts w:ascii="仿宋_GB2312" w:hAnsi="宋体" w:eastAsia="仿宋_GB2312" w:cs="Times New Roman"/>
          <w:sz w:val="32"/>
          <w:szCs w:val="32"/>
        </w:rPr>
      </w:pPr>
      <w:r>
        <w:rPr>
          <w:rFonts w:ascii="仿宋_GB2312" w:hAnsi="宋体" w:eastAsia="仿宋_GB2312" w:cs="Times New Roman"/>
          <w:sz w:val="32"/>
          <w:szCs w:val="32"/>
        </w:rPr>
        <w:t>两校区教学区电动自行车充电桩全面升级，充电价格优惠从 1 元/4 小时提至 1 元/8 小时。改造后，两校区 10 座充电桩区域共 332 个充电口，解决师生充电难题，助力绿色出行。针对教工路校区师生开学快递需求增长，短期内增建 631 个格口丰巢快递柜，保障快递投递存放，提升服务效率与师生满意度。</w:t>
      </w:r>
    </w:p>
    <w:p>
      <w:pPr>
        <w:spacing w:line="560" w:lineRule="exact"/>
        <w:ind w:firstLine="643" w:firstLineChars="200"/>
        <w:jc w:val="both"/>
        <w:rPr>
          <w:rFonts w:ascii="楷体_GB2312" w:hAnsi="楷体" w:eastAsia="楷体_GB2312" w:cs="楷体"/>
          <w:b/>
          <w:bCs/>
          <w:sz w:val="32"/>
          <w:szCs w:val="32"/>
        </w:rPr>
      </w:pPr>
      <w:r>
        <w:rPr>
          <w:rFonts w:ascii="楷体_GB2312" w:hAnsi="楷体" w:eastAsia="楷体_GB2312" w:cs="楷体"/>
          <w:b/>
          <w:bCs/>
          <w:sz w:val="32"/>
          <w:szCs w:val="32"/>
        </w:rPr>
        <w:t>3.细化安全体系，形成管理常态化</w:t>
      </w:r>
    </w:p>
    <w:p>
      <w:pPr>
        <w:spacing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落实</w:t>
      </w:r>
      <w:r>
        <w:rPr>
          <w:rFonts w:ascii="仿宋_GB2312" w:hAnsi="宋体" w:eastAsia="仿宋_GB2312" w:cs="Times New Roman"/>
          <w:sz w:val="32"/>
          <w:szCs w:val="32"/>
        </w:rPr>
        <w:t>沿街商铺</w:t>
      </w:r>
      <w:r>
        <w:rPr>
          <w:rFonts w:hint="eastAsia" w:ascii="仿宋_GB2312" w:hAnsi="宋体" w:eastAsia="仿宋_GB2312" w:cs="Times New Roman"/>
          <w:sz w:val="32"/>
          <w:szCs w:val="32"/>
        </w:rPr>
        <w:t>日常巡查</w:t>
      </w:r>
      <w:r>
        <w:rPr>
          <w:rFonts w:ascii="仿宋_GB2312" w:hAnsi="宋体" w:eastAsia="仿宋_GB2312" w:cs="Times New Roman"/>
          <w:sz w:val="32"/>
          <w:szCs w:val="32"/>
        </w:rPr>
        <w:t>，保障安全运营。</w:t>
      </w:r>
      <w:r>
        <w:rPr>
          <w:rFonts w:hint="eastAsia" w:ascii="仿宋_GB2312" w:hAnsi="宋体" w:eastAsia="仿宋_GB2312" w:cs="Times New Roman"/>
          <w:sz w:val="32"/>
          <w:szCs w:val="32"/>
        </w:rPr>
        <w:t>落实</w:t>
      </w:r>
      <w:r>
        <w:rPr>
          <w:rFonts w:ascii="仿宋_GB2312" w:hAnsi="宋体" w:eastAsia="仿宋_GB2312" w:cs="Times New Roman"/>
          <w:sz w:val="32"/>
          <w:szCs w:val="32"/>
        </w:rPr>
        <w:t>区域管理</w:t>
      </w:r>
      <w:r>
        <w:rPr>
          <w:rFonts w:hint="eastAsia" w:ascii="仿宋_GB2312" w:hAnsi="宋体" w:eastAsia="仿宋_GB2312" w:cs="Times New Roman"/>
          <w:sz w:val="32"/>
          <w:szCs w:val="32"/>
        </w:rPr>
        <w:t>，</w:t>
      </w:r>
      <w:r>
        <w:rPr>
          <w:rFonts w:ascii="仿宋_GB2312" w:hAnsi="宋体" w:eastAsia="仿宋_GB2312" w:cs="Times New Roman"/>
          <w:sz w:val="32"/>
          <w:szCs w:val="32"/>
        </w:rPr>
        <w:t>将学校商铺划为 5 个片区，指定管理员负责日常安全管理，实现区域化与责任化管理。</w:t>
      </w:r>
      <w:r>
        <w:rPr>
          <w:rFonts w:hint="eastAsia" w:ascii="仿宋_GB2312" w:hAnsi="宋体" w:eastAsia="仿宋_GB2312" w:cs="Times New Roman"/>
          <w:sz w:val="32"/>
          <w:szCs w:val="32"/>
        </w:rPr>
        <w:t>定期开展</w:t>
      </w:r>
      <w:r>
        <w:rPr>
          <w:rFonts w:ascii="仿宋_GB2312" w:hAnsi="宋体" w:eastAsia="仿宋_GB2312" w:cs="Times New Roman"/>
          <w:sz w:val="32"/>
          <w:szCs w:val="32"/>
        </w:rPr>
        <w:t>联合检查</w:t>
      </w:r>
      <w:r>
        <w:rPr>
          <w:rFonts w:hint="eastAsia" w:ascii="仿宋_GB2312" w:hAnsi="宋体" w:eastAsia="仿宋_GB2312" w:cs="Times New Roman"/>
          <w:sz w:val="32"/>
          <w:szCs w:val="32"/>
        </w:rPr>
        <w:t>，</w:t>
      </w:r>
      <w:r>
        <w:rPr>
          <w:rFonts w:ascii="仿宋_GB2312" w:hAnsi="宋体" w:eastAsia="仿宋_GB2312" w:cs="Times New Roman"/>
          <w:sz w:val="32"/>
          <w:szCs w:val="32"/>
        </w:rPr>
        <w:t>联合安全保卫部、后勤服务中心开展 4 次季度检查。</w:t>
      </w:r>
      <w:r>
        <w:rPr>
          <w:rFonts w:hint="eastAsia" w:ascii="仿宋_GB2312" w:hAnsi="宋体" w:eastAsia="仿宋_GB2312" w:cs="Times New Roman"/>
          <w:sz w:val="32"/>
          <w:szCs w:val="32"/>
        </w:rPr>
        <w:t>引入</w:t>
      </w:r>
      <w:r>
        <w:rPr>
          <w:rFonts w:ascii="仿宋_GB2312" w:hAnsi="宋体" w:eastAsia="仿宋_GB2312" w:cs="Times New Roman"/>
          <w:sz w:val="32"/>
          <w:szCs w:val="32"/>
        </w:rPr>
        <w:t>专业检测</w:t>
      </w:r>
      <w:r>
        <w:rPr>
          <w:rFonts w:hint="eastAsia" w:ascii="仿宋_GB2312" w:hAnsi="宋体" w:eastAsia="仿宋_GB2312" w:cs="Times New Roman"/>
          <w:sz w:val="32"/>
          <w:szCs w:val="32"/>
        </w:rPr>
        <w:t>，</w:t>
      </w:r>
      <w:r>
        <w:rPr>
          <w:rFonts w:ascii="仿宋_GB2312" w:hAnsi="宋体" w:eastAsia="仿宋_GB2312" w:cs="Times New Roman"/>
          <w:sz w:val="32"/>
          <w:szCs w:val="32"/>
        </w:rPr>
        <w:t>配合安保部引入第三方公司，对浙经院食堂等重点场所进行季度用电、消防等安全排查。落实“回头看”制度，跟踪复查整改情况，确保隐患彻底消除。</w:t>
      </w:r>
    </w:p>
    <w:p>
      <w:pPr>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br w:type="page"/>
      </w:r>
    </w:p>
    <w:p>
      <w:pPr>
        <w:ind w:firstLine="0"/>
        <w:jc w:val="center"/>
        <w:rPr>
          <w:b/>
          <w:bCs/>
          <w:shd w:val="clear" w:color="auto" w:fill="FFFFFF"/>
        </w:rPr>
      </w:pPr>
      <w:bookmarkStart w:id="36" w:name="_Toc103345074"/>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年推进数字高校建设工作公开报告</w:t>
      </w:r>
      <w:bookmarkEnd w:id="36"/>
    </w:p>
    <w:p>
      <w:pPr>
        <w:spacing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深入贯彻落实“数字中国”和“教育强国”战略，浙江工商大学深入学习习近平总书记重要讲话精神和党的二十大重要战略部署，深刻领悟“两个确立”决定性意义，增强“四个意识”、坚定“四个自信”、做到“两个维护”，将习近平同志2004年视察浙江工商大学时的重要指示精神和2021年110周年校庆时对学校的亲自祝贺关爱作为强大动力，认真学习贯彻易炼红书记在新春第一会上的重要讲话精神，以昂扬奋进、团结奋斗姿态全力推进六大“一号工程”，</w:t>
      </w:r>
      <w:r>
        <w:rPr>
          <w:rFonts w:ascii="仿宋_GB2312" w:hAnsi="仿宋_GB2312" w:eastAsia="仿宋_GB2312" w:cs="仿宋_GB2312"/>
          <w:sz w:val="32"/>
          <w:szCs w:val="32"/>
          <w:shd w:val="clear" w:color="auto" w:fill="FFFFFF"/>
        </w:rPr>
        <w:t>坚定不移深化数字化改革</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加速学校事业发展再上新台阶。</w:t>
      </w:r>
    </w:p>
    <w:p>
      <w:pPr>
        <w:spacing w:line="560" w:lineRule="exact"/>
        <w:ind w:firstLine="640" w:firstLineChars="200"/>
        <w:jc w:val="both"/>
        <w:rPr>
          <w:rFonts w:hint="eastAsia" w:ascii="仿宋_GB2312" w:hAnsi="仿宋_GB2312" w:eastAsia="仿宋_GB2312" w:cs="仿宋_GB2312"/>
          <w:sz w:val="32"/>
          <w:szCs w:val="32"/>
          <w:highlight w:val="none"/>
          <w:shd w:val="clear" w:color="auto" w:fill="FFFFFF"/>
          <w:lang w:eastAsia="zh-CN"/>
        </w:rPr>
      </w:pPr>
      <w:r>
        <w:rPr>
          <w:rFonts w:hint="eastAsia" w:ascii="仿宋_GB2312" w:hAnsi="仿宋_GB2312" w:eastAsia="仿宋_GB2312" w:cs="仿宋_GB2312"/>
          <w:sz w:val="32"/>
          <w:szCs w:val="32"/>
          <w:shd w:val="clear" w:color="auto" w:fill="FFFFFF"/>
        </w:rPr>
        <w:t>2020年9月，学校正式启动“数字高校”工程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出台学校“数字高校”十四五规划，形成“一事一库一图一体系一生态”的数字化改革框架和“1+2+5”数字高校治理体系。2021年底，我校发布由一体化智能化公共数据中台和四个多跨场</w:t>
      </w:r>
      <w:r>
        <w:rPr>
          <w:rFonts w:hint="eastAsia" w:ascii="仿宋_GB2312" w:hAnsi="仿宋_GB2312" w:eastAsia="仿宋_GB2312" w:cs="仿宋_GB2312"/>
          <w:sz w:val="32"/>
          <w:szCs w:val="32"/>
          <w:highlight w:val="none"/>
          <w:shd w:val="clear" w:color="auto" w:fill="FFFFFF"/>
        </w:rPr>
        <w:t>景应用组成的数字高校1.0版。</w:t>
      </w:r>
      <w:r>
        <w:rPr>
          <w:rFonts w:hint="eastAsia" w:ascii="仿宋_GB2312" w:hAnsi="仿宋_GB2312" w:eastAsia="仿宋_GB2312" w:cs="仿宋_GB2312"/>
          <w:sz w:val="32"/>
          <w:szCs w:val="32"/>
          <w:highlight w:val="none"/>
          <w:shd w:val="clear" w:color="auto" w:fill="FFFFFF"/>
          <w:lang w:val="en-US" w:eastAsia="zh-CN"/>
        </w:rPr>
        <w:t>2022年，</w:t>
      </w:r>
      <w:r>
        <w:rPr>
          <w:rFonts w:hint="eastAsia" w:ascii="仿宋_GB2312" w:hAnsi="仿宋_GB2312" w:eastAsia="仿宋_GB2312" w:cs="仿宋_GB2312"/>
          <w:sz w:val="32"/>
          <w:szCs w:val="32"/>
          <w:shd w:val="clear" w:color="auto" w:fill="FFFFFF"/>
        </w:rPr>
        <w:t>学校变“+数字”为“数字+”</w:t>
      </w:r>
      <w:r>
        <w:rPr>
          <w:rFonts w:hint="eastAsia" w:ascii="仿宋_GB2312" w:hAnsi="仿宋_GB2312" w:eastAsia="仿宋_GB2312" w:cs="仿宋_GB2312"/>
          <w:sz w:val="32"/>
          <w:szCs w:val="32"/>
          <w:shd w:val="clear" w:color="auto" w:fill="FFFFFF"/>
          <w:lang w:eastAsia="zh-CN"/>
        </w:rPr>
        <w:t>，发布数字高校1.0PLUS版暨“数字+”学科建设行动计划。</w:t>
      </w:r>
    </w:p>
    <w:p>
      <w:pPr>
        <w:spacing w:line="560" w:lineRule="exact"/>
        <w:ind w:firstLine="640" w:firstLineChars="200"/>
        <w:jc w:val="both"/>
        <w:rPr>
          <w:rFonts w:hint="eastAsia" w:ascii="仿宋_GB2312" w:hAnsi="仿宋_GB2312" w:eastAsia="仿宋_GB2312" w:cs="仿宋_GB2312"/>
          <w:sz w:val="32"/>
          <w:szCs w:val="32"/>
          <w:highlight w:val="none"/>
          <w:shd w:val="clear" w:color="auto" w:fill="FFFFFF"/>
          <w:lang w:eastAsia="zh-CN"/>
        </w:rPr>
      </w:pPr>
      <w:r>
        <w:rPr>
          <w:rFonts w:hint="eastAsia" w:ascii="仿宋_GB2312" w:hAnsi="仿宋_GB2312" w:eastAsia="仿宋_GB2312" w:cs="仿宋_GB2312"/>
          <w:sz w:val="32"/>
          <w:szCs w:val="32"/>
          <w:highlight w:val="none"/>
          <w:shd w:val="clear" w:color="auto" w:fill="FFFFFF"/>
          <w:lang w:eastAsia="zh-CN"/>
        </w:rPr>
        <w:t>2024年度，学校深化数字化改革专班架构，坚持以人工智能赋能五大卓越体系为战略引领，校领导统筹推进数字校园升级与学科生态重塑，牵头部门协同各学院实施“数字+”学科1510体系和人才培养九大专项行动，聚力打造数字基座与产教融合标杆工程。全年重点推进“商大副脑”智能平台建设，完成教学、科研、管理全链路数字化跃迁；建成科创大楼未来学习中心，落地虚拟仿真、数字孪生等创新工坊；落地“BAT-X”人工智能示范课程群，实现55门智慧课程与数字教材建设。学校建立月度联席会机制，六大跑道牵头单位汇报进展，校领导逐一点评并部署攻坚任务，人工智能时代“数字+教育”融合生态全面成型，在全省高校首发《人工智能时代创新型人才培养行动计划》，为创新型人才培养注入强劲动能。</w:t>
      </w:r>
    </w:p>
    <w:p>
      <w:pPr>
        <w:spacing w:line="560" w:lineRule="exact"/>
        <w:ind w:firstLine="641"/>
        <w:jc w:val="both"/>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2024年度</w:t>
      </w:r>
      <w:r>
        <w:rPr>
          <w:rFonts w:hint="eastAsia" w:ascii="黑体" w:hAnsi="黑体" w:eastAsia="黑体" w:cs="黑体"/>
          <w:b w:val="0"/>
          <w:bCs/>
          <w:sz w:val="32"/>
          <w:szCs w:val="32"/>
        </w:rPr>
        <w:t>学校数字化改革的主要成果</w:t>
      </w:r>
    </w:p>
    <w:p>
      <w:pPr>
        <w:spacing w:line="560" w:lineRule="exact"/>
        <w:ind w:firstLine="641"/>
        <w:jc w:val="both"/>
        <w:rPr>
          <w:rFonts w:hint="default"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rPr>
        <w:t>（</w:t>
      </w:r>
      <w:r>
        <w:rPr>
          <w:rFonts w:hint="eastAsia" w:ascii="楷体_GB2312" w:hAnsi="楷体_GB2312" w:eastAsia="楷体_GB2312" w:cs="楷体_GB2312"/>
          <w:b/>
          <w:bCs/>
          <w:sz w:val="32"/>
          <w:szCs w:val="32"/>
          <w:shd w:val="clear" w:color="auto" w:fill="FFFFFF"/>
          <w:lang w:val="en-US" w:eastAsia="zh-CN"/>
        </w:rPr>
        <w:t>一</w:t>
      </w:r>
      <w:r>
        <w:rPr>
          <w:rFonts w:hint="eastAsia" w:ascii="楷体_GB2312" w:hAnsi="楷体_GB2312" w:eastAsia="楷体_GB2312" w:cs="楷体_GB2312"/>
          <w:b/>
          <w:bCs/>
          <w:sz w:val="32"/>
          <w:szCs w:val="32"/>
          <w:shd w:val="clear" w:color="auto" w:fill="FFFFFF"/>
        </w:rPr>
        <w:t>）推进数字高校2.0相关规划</w:t>
      </w:r>
    </w:p>
    <w:p>
      <w:pPr>
        <w:spacing w:line="560" w:lineRule="exact"/>
        <w:ind w:firstLine="615"/>
        <w:jc w:val="both"/>
        <w:rPr>
          <w:rFonts w:hint="default" w:ascii="仿宋_GB2312" w:hAnsi="仿宋_GB2312" w:eastAsia="仿宋_GB2312" w:cs="仿宋_GB2312"/>
          <w:sz w:val="32"/>
          <w:szCs w:val="32"/>
          <w:shd w:val="clear" w:color="auto" w:fill="FFFFFF"/>
          <w:lang w:val="en-US" w:eastAsia="zh-CN"/>
        </w:rPr>
      </w:pPr>
      <w:r>
        <w:rPr>
          <w:rFonts w:hint="default" w:ascii="仿宋_GB2312" w:hAnsi="仿宋_GB2312" w:eastAsia="仿宋_GB2312" w:cs="仿宋_GB2312"/>
          <w:sz w:val="32"/>
          <w:szCs w:val="32"/>
          <w:shd w:val="clear" w:color="auto" w:fill="FFFFFF"/>
          <w:lang w:val="en-US" w:eastAsia="zh-CN"/>
        </w:rPr>
        <w:t>为落实学校“数字改革示范高校”建设方针，以进一步推动学校数字化改革工作和“数字高校”项目建设，副校长陈衍泰主持并多次召开“数字高校”2.0建设推进协调会议。在数字化办公室的统筹下，已从需求征集、联合排演、资源规划到任务细化四个方面，协调各相关部门全面推进数字化改革工作，并初步形成了数字高校2.0的总体谋划草案。</w:t>
      </w:r>
    </w:p>
    <w:p>
      <w:pPr>
        <w:spacing w:line="560" w:lineRule="exact"/>
        <w:ind w:firstLine="641"/>
        <w:jc w:val="both"/>
        <w:rPr>
          <w:rFonts w:hint="default"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rPr>
        <w:t>（</w:t>
      </w:r>
      <w:r>
        <w:rPr>
          <w:rFonts w:hint="eastAsia" w:ascii="楷体_GB2312" w:hAnsi="楷体_GB2312" w:eastAsia="楷体_GB2312" w:cs="楷体_GB2312"/>
          <w:b/>
          <w:bCs/>
          <w:sz w:val="32"/>
          <w:szCs w:val="32"/>
          <w:shd w:val="clear" w:color="auto" w:fill="FFFFFF"/>
          <w:lang w:val="en-US" w:eastAsia="zh-CN"/>
        </w:rPr>
        <w:t>二</w:t>
      </w:r>
      <w:r>
        <w:rPr>
          <w:rFonts w:hint="eastAsia" w:ascii="楷体_GB2312" w:hAnsi="楷体_GB2312" w:eastAsia="楷体_GB2312" w:cs="楷体_GB2312"/>
          <w:b/>
          <w:bCs/>
          <w:sz w:val="32"/>
          <w:szCs w:val="32"/>
          <w:shd w:val="clear" w:color="auto" w:fill="FFFFFF"/>
        </w:rPr>
        <w:t>）数字化改革</w:t>
      </w:r>
      <w:r>
        <w:rPr>
          <w:rFonts w:hint="eastAsia" w:ascii="楷体_GB2312" w:hAnsi="楷体_GB2312" w:eastAsia="楷体_GB2312" w:cs="楷体_GB2312"/>
          <w:b/>
          <w:bCs/>
          <w:sz w:val="32"/>
          <w:szCs w:val="32"/>
          <w:shd w:val="clear" w:color="auto" w:fill="FFFFFF"/>
          <w:lang w:val="en-US" w:eastAsia="zh-CN"/>
        </w:rPr>
        <w:t>荣誉</w:t>
      </w:r>
      <w:r>
        <w:rPr>
          <w:rFonts w:hint="eastAsia" w:ascii="楷体_GB2312" w:hAnsi="楷体_GB2312" w:eastAsia="楷体_GB2312" w:cs="楷体_GB2312"/>
          <w:b/>
          <w:bCs/>
          <w:sz w:val="32"/>
          <w:szCs w:val="32"/>
          <w:shd w:val="clear" w:color="auto" w:fill="FFFFFF"/>
        </w:rPr>
        <w:t>成果</w:t>
      </w:r>
    </w:p>
    <w:p>
      <w:pPr>
        <w:spacing w:line="560" w:lineRule="exact"/>
        <w:ind w:firstLine="615"/>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2024年，</w:t>
      </w:r>
      <w:r>
        <w:rPr>
          <w:rFonts w:hint="default" w:ascii="仿宋_GB2312" w:hAnsi="仿宋_GB2312" w:eastAsia="仿宋_GB2312" w:cs="仿宋_GB2312"/>
          <w:sz w:val="32"/>
          <w:szCs w:val="32"/>
          <w:shd w:val="clear" w:color="auto" w:fill="FFFFFF"/>
          <w:lang w:val="en-US" w:eastAsia="zh-CN"/>
        </w:rPr>
        <w:t>数字化办公室积极</w:t>
      </w:r>
      <w:r>
        <w:rPr>
          <w:rFonts w:hint="eastAsia" w:ascii="仿宋_GB2312" w:hAnsi="仿宋_GB2312" w:eastAsia="仿宋_GB2312" w:cs="仿宋_GB2312"/>
          <w:sz w:val="32"/>
          <w:szCs w:val="32"/>
          <w:shd w:val="clear" w:color="auto" w:fill="FFFFFF"/>
          <w:lang w:val="en-US" w:eastAsia="zh-CN"/>
        </w:rPr>
        <w:t>推进</w:t>
      </w:r>
      <w:r>
        <w:rPr>
          <w:rFonts w:hint="default" w:ascii="仿宋_GB2312" w:hAnsi="仿宋_GB2312" w:eastAsia="仿宋_GB2312" w:cs="仿宋_GB2312"/>
          <w:sz w:val="32"/>
          <w:szCs w:val="32"/>
          <w:shd w:val="clear" w:color="auto" w:fill="FFFFFF"/>
          <w:lang w:val="en-US" w:eastAsia="zh-CN"/>
        </w:rPr>
        <w:t>教育厅数字教育创新试点项目，经过</w:t>
      </w:r>
      <w:r>
        <w:rPr>
          <w:rFonts w:hint="eastAsia" w:ascii="仿宋_GB2312" w:hAnsi="仿宋_GB2312" w:eastAsia="仿宋_GB2312" w:cs="仿宋_GB2312"/>
          <w:sz w:val="32"/>
          <w:szCs w:val="32"/>
          <w:shd w:val="clear" w:color="auto" w:fill="FFFFFF"/>
          <w:lang w:val="en-US" w:eastAsia="zh-CN"/>
        </w:rPr>
        <w:t>充分总结中期汇报专家意见后</w:t>
      </w:r>
      <w:r>
        <w:rPr>
          <w:rFonts w:hint="default" w:ascii="仿宋_GB2312" w:hAnsi="仿宋_GB2312" w:eastAsia="仿宋_GB2312" w:cs="仿宋_GB2312"/>
          <w:sz w:val="32"/>
          <w:szCs w:val="32"/>
          <w:shd w:val="clear" w:color="auto" w:fill="FFFFFF"/>
          <w:lang w:val="en-US" w:eastAsia="zh-CN"/>
        </w:rPr>
        <w:t>与全校各部门的深入调研、交流及分析，</w:t>
      </w:r>
      <w:r>
        <w:rPr>
          <w:rFonts w:hint="eastAsia" w:ascii="仿宋_GB2312" w:hAnsi="仿宋_GB2312" w:eastAsia="仿宋_GB2312" w:cs="仿宋_GB2312"/>
          <w:sz w:val="32"/>
          <w:szCs w:val="32"/>
          <w:shd w:val="clear" w:color="auto" w:fill="FFFFFF"/>
          <w:lang w:val="en-US" w:eastAsia="zh-CN"/>
        </w:rPr>
        <w:t>进一步完善</w:t>
      </w:r>
      <w:r>
        <w:rPr>
          <w:rFonts w:hint="default" w:ascii="仿宋_GB2312" w:hAnsi="仿宋_GB2312" w:eastAsia="仿宋_GB2312" w:cs="仿宋_GB2312"/>
          <w:sz w:val="32"/>
          <w:szCs w:val="32"/>
          <w:shd w:val="clear" w:color="auto" w:fill="FFFFFF"/>
          <w:lang w:val="en-US" w:eastAsia="zh-CN"/>
        </w:rPr>
        <w:t>实施方案，并得到教育厅的高度认可和支持，</w:t>
      </w:r>
      <w:r>
        <w:rPr>
          <w:rFonts w:hint="eastAsia" w:ascii="仿宋_GB2312" w:hAnsi="仿宋_GB2312" w:eastAsia="仿宋_GB2312" w:cs="仿宋_GB2312"/>
          <w:sz w:val="32"/>
          <w:szCs w:val="32"/>
          <w:shd w:val="clear" w:color="auto" w:fill="FFFFFF"/>
          <w:lang w:val="en-US" w:eastAsia="zh-CN"/>
        </w:rPr>
        <w:t>2024年11月顺利完成</w:t>
      </w:r>
      <w:r>
        <w:rPr>
          <w:rFonts w:hint="default" w:ascii="仿宋_GB2312" w:hAnsi="仿宋_GB2312" w:eastAsia="仿宋_GB2312" w:cs="仿宋_GB2312"/>
          <w:sz w:val="32"/>
          <w:szCs w:val="32"/>
          <w:shd w:val="clear" w:color="auto" w:fill="FFFFFF"/>
          <w:lang w:val="en-US" w:eastAsia="zh-CN"/>
        </w:rPr>
        <w:t>教育厅数字教育试点项目</w:t>
      </w:r>
      <w:r>
        <w:rPr>
          <w:rFonts w:hint="eastAsia" w:ascii="仿宋_GB2312" w:hAnsi="仿宋_GB2312" w:eastAsia="仿宋_GB2312" w:cs="仿宋_GB2312"/>
          <w:sz w:val="32"/>
          <w:szCs w:val="32"/>
          <w:shd w:val="clear" w:color="auto" w:fill="FFFFFF"/>
          <w:lang w:val="en-US" w:eastAsia="zh-CN"/>
        </w:rPr>
        <w:t>的验收工作</w:t>
      </w:r>
      <w:r>
        <w:rPr>
          <w:rFonts w:hint="default" w:ascii="仿宋_GB2312" w:hAnsi="仿宋_GB2312" w:eastAsia="仿宋_GB2312" w:cs="仿宋_GB2312"/>
          <w:sz w:val="32"/>
          <w:szCs w:val="32"/>
          <w:shd w:val="clear" w:color="auto" w:fill="FFFFFF"/>
          <w:lang w:val="en-US" w:eastAsia="zh-CN"/>
        </w:rPr>
        <w:t>。</w:t>
      </w:r>
    </w:p>
    <w:p>
      <w:pPr>
        <w:spacing w:line="560" w:lineRule="exact"/>
        <w:ind w:firstLine="615"/>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2024年12月，</w:t>
      </w:r>
      <w:r>
        <w:rPr>
          <w:rFonts w:hint="default" w:ascii="仿宋_GB2312" w:hAnsi="仿宋_GB2312" w:eastAsia="仿宋_GB2312" w:cs="仿宋_GB2312"/>
          <w:sz w:val="32"/>
          <w:szCs w:val="32"/>
          <w:shd w:val="clear" w:color="auto" w:fill="FFFFFF"/>
          <w:lang w:val="en-US" w:eastAsia="zh-CN"/>
        </w:rPr>
        <w:t>浙江省计算机学会教育信息化专业委员会、中国教育和科研计算机网浙江省主节点联合表彰了一批高校网络信息化建设先进单位和先进个人。我校荣获“浙江省高校网络信息化建设工作先进单位－</w:t>
      </w:r>
      <w:r>
        <w:rPr>
          <w:rFonts w:hint="eastAsia" w:ascii="仿宋_GB2312" w:hAnsi="仿宋_GB2312" w:eastAsia="仿宋_GB2312" w:cs="仿宋_GB2312"/>
          <w:sz w:val="32"/>
          <w:szCs w:val="32"/>
          <w:shd w:val="clear" w:color="auto" w:fill="FFFFFF"/>
          <w:lang w:val="en-US" w:eastAsia="zh-CN"/>
        </w:rPr>
        <w:t>信息技术应用创新方向</w:t>
      </w:r>
      <w:r>
        <w:rPr>
          <w:rFonts w:hint="default" w:ascii="仿宋_GB2312" w:hAnsi="仿宋_GB2312" w:eastAsia="仿宋_GB2312" w:cs="仿宋_GB2312"/>
          <w:sz w:val="32"/>
          <w:szCs w:val="32"/>
          <w:shd w:val="clear" w:color="auto" w:fill="FFFFFF"/>
          <w:lang w:val="en-US" w:eastAsia="zh-CN"/>
        </w:rPr>
        <w:t>”和“浙江省高校网络信息化建设工作先进单位－校园新基建方向”两项荣誉</w:t>
      </w:r>
      <w:r>
        <w:rPr>
          <w:rFonts w:hint="eastAsia" w:ascii="仿宋_GB2312" w:hAnsi="仿宋_GB2312" w:eastAsia="仿宋_GB2312" w:cs="仿宋_GB2312"/>
          <w:sz w:val="32"/>
          <w:szCs w:val="32"/>
          <w:shd w:val="clear" w:color="auto" w:fill="FFFFFF"/>
          <w:lang w:val="en-US" w:eastAsia="zh-CN"/>
        </w:rPr>
        <w:t>（见图1）</w:t>
      </w:r>
      <w:r>
        <w:rPr>
          <w:rFonts w:hint="default" w:ascii="仿宋_GB2312" w:hAnsi="仿宋_GB2312" w:eastAsia="仿宋_GB2312" w:cs="仿宋_GB2312"/>
          <w:sz w:val="32"/>
          <w:szCs w:val="32"/>
          <w:shd w:val="clear" w:color="auto" w:fill="FFFFFF"/>
          <w:lang w:val="en-US" w:eastAsia="zh-CN"/>
        </w:rPr>
        <w:t>。</w:t>
      </w:r>
    </w:p>
    <w:p>
      <w:pPr>
        <w:spacing w:after="100"/>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drawing>
          <wp:inline distT="0" distB="0" distL="114300" distR="114300">
            <wp:extent cx="2125980" cy="1500505"/>
            <wp:effectExtent l="0" t="0" r="7620" b="4445"/>
            <wp:docPr id="1" name="图片 1" descr="证书-浙江工商大学-信息技术应用创新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证书-浙江工商大学-信息技术应用创新_00"/>
                    <pic:cNvPicPr>
                      <a:picLocks noChangeAspect="1"/>
                    </pic:cNvPicPr>
                  </pic:nvPicPr>
                  <pic:blipFill>
                    <a:blip r:embed="rId10"/>
                    <a:stretch>
                      <a:fillRect/>
                    </a:stretch>
                  </pic:blipFill>
                  <pic:spPr>
                    <a:xfrm>
                      <a:off x="0" y="0"/>
                      <a:ext cx="2125980" cy="1500505"/>
                    </a:xfrm>
                    <a:prstGeom prst="rect">
                      <a:avLst/>
                    </a:prstGeom>
                  </pic:spPr>
                </pic:pic>
              </a:graphicData>
            </a:graphic>
          </wp:inline>
        </w:drawing>
      </w:r>
      <w:r>
        <w:rPr>
          <w:rFonts w:hint="eastAsia" w:ascii="仿宋_GB2312" w:hAnsi="仿宋_GB2312" w:eastAsia="仿宋_GB2312" w:cs="仿宋_GB2312"/>
          <w:b/>
          <w:bCs/>
          <w:sz w:val="24"/>
          <w:lang w:eastAsia="zh-CN"/>
        </w:rPr>
        <w:drawing>
          <wp:inline distT="0" distB="0" distL="114300" distR="114300">
            <wp:extent cx="2128520" cy="1503045"/>
            <wp:effectExtent l="0" t="0" r="5080" b="1905"/>
            <wp:docPr id="3" name="图片 3" descr="证书-浙江工商大学-校园新基建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证书-浙江工商大学-校园新基建_00"/>
                    <pic:cNvPicPr>
                      <a:picLocks noChangeAspect="1"/>
                    </pic:cNvPicPr>
                  </pic:nvPicPr>
                  <pic:blipFill>
                    <a:blip r:embed="rId11"/>
                    <a:stretch>
                      <a:fillRect/>
                    </a:stretch>
                  </pic:blipFill>
                  <pic:spPr>
                    <a:xfrm>
                      <a:off x="0" y="0"/>
                      <a:ext cx="2128520" cy="1503045"/>
                    </a:xfrm>
                    <a:prstGeom prst="rect">
                      <a:avLst/>
                    </a:prstGeom>
                  </pic:spPr>
                </pic:pic>
              </a:graphicData>
            </a:graphic>
          </wp:inline>
        </w:drawing>
      </w:r>
    </w:p>
    <w:p>
      <w:pPr>
        <w:spacing w:after="100"/>
        <w:jc w:val="center"/>
        <w:rPr>
          <w:rFonts w:hint="eastAsia" w:ascii="仿宋_GB2312" w:hAnsi="Times New Roman" w:eastAsia="仿宋_GB2312"/>
          <w:sz w:val="32"/>
          <w:szCs w:val="32"/>
          <w:lang w:val="en-US" w:eastAsia="zh-CN"/>
        </w:rPr>
      </w:pPr>
      <w:r>
        <w:rPr>
          <w:rFonts w:hint="eastAsia" w:ascii="仿宋_GB2312" w:hAnsi="仿宋_GB2312" w:eastAsia="仿宋_GB2312" w:cs="仿宋_GB2312"/>
          <w:b/>
          <w:bCs/>
          <w:sz w:val="24"/>
        </w:rPr>
        <w:t>图</w:t>
      </w:r>
      <w:r>
        <w:rPr>
          <w:rFonts w:hint="eastAsia" w:ascii="仿宋_GB2312" w:hAnsi="仿宋_GB2312" w:eastAsia="仿宋_GB2312" w:cs="仿宋_GB2312"/>
          <w:b/>
          <w:bCs/>
          <w:sz w:val="24"/>
          <w:lang w:val="en-US" w:eastAsia="zh-CN"/>
        </w:rPr>
        <w:t>1先进单位荣誉证书</w:t>
      </w:r>
    </w:p>
    <w:p>
      <w:pPr>
        <w:spacing w:line="560" w:lineRule="exact"/>
        <w:ind w:firstLine="641"/>
        <w:jc w:val="both"/>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（三）制度建设</w:t>
      </w:r>
    </w:p>
    <w:p>
      <w:pPr>
        <w:spacing w:line="560" w:lineRule="exact"/>
        <w:ind w:firstLine="641"/>
        <w:jc w:val="both"/>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通过系统性制度完善与平台升级，全面推进信息化治理体系现代化建设。在数据管理领域，修订并发布《浙江工商大学信息系统数据管理办法》，同步优化数据治理平台功能模块，着力构建规范高效的数据全生命周期管理体系。在项目管理层面，出台新版《浙江工商大学信息化项目建设管理办法》，从立项审批、过程监督到验收评估形成闭环管理机制，有效提升项目建设质量与效益产出，为学校数字化建设奠定制度基础。为筑牢网络安全防线，学校重点强化责任体系建设，通过《浙江工商大学网络与信息系统安全管理办法》的修订实施，明确网络安全责任制度。同时面向校园服务场景发布《浙江工商大学校园一卡通管理办法》，通过统一技术标准和服务规范，实现跨部门业务协同与资源整合。</w:t>
      </w:r>
    </w:p>
    <w:p>
      <w:pPr>
        <w:spacing w:line="560" w:lineRule="exact"/>
        <w:ind w:firstLine="641"/>
        <w:jc w:val="both"/>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（四）数据工程建设</w:t>
      </w:r>
    </w:p>
    <w:p>
      <w:pPr>
        <w:spacing w:line="560" w:lineRule="exact"/>
        <w:ind w:firstLine="641"/>
        <w:jc w:val="both"/>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本年度学校持续推进数据工程建设，通过系统化数据管理有效提升校园信息化水平。在数据归集方面，新建教学项目、教材著作、境外交流学生等51张多维数据表，累计覆盖735个数据项并汇聚超过214万条数据资源，成功填补学科系统、人事系统、学工学生一体化平台等14个业务部门的重点平台数据缺口，为宿费催缴、校友服务、智安校园等关键业务提供完整数据支撑。数据共享体系实现跨部门高效协同，公共数据平台已对接22个学院及部门的51个应用系统，累计开放496个数据接口共享141张数据表，完成63万余次调用服务，共享数据总量达2.9亿条；其中本年新增157个接口，完成2820万条数据交换，支持超过63万次实时调用需求。同步强化数据质量管控，建立371项数据质检规则，联合教务处等业务部门深度治理2万条问题数据，通过标准化清洗流程持续提升数据准确性与一致性，为学校数字化建设筑牢数据基石。</w:t>
      </w:r>
    </w:p>
    <w:p>
      <w:pPr>
        <w:spacing w:line="560" w:lineRule="exact"/>
        <w:ind w:firstLine="641"/>
        <w:jc w:val="both"/>
        <w:rPr>
          <w:rFonts w:hint="default" w:ascii="楷体_GB2312" w:hAnsi="楷体_GB2312" w:eastAsia="楷体_GB2312" w:cs="楷体_GB2312"/>
          <w:b/>
          <w:bCs/>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rPr>
        <w:t>（</w:t>
      </w:r>
      <w:r>
        <w:rPr>
          <w:rFonts w:hint="eastAsia" w:ascii="楷体_GB2312" w:hAnsi="楷体_GB2312" w:eastAsia="楷体_GB2312" w:cs="楷体_GB2312"/>
          <w:b/>
          <w:bCs/>
          <w:sz w:val="32"/>
          <w:szCs w:val="32"/>
          <w:shd w:val="clear" w:color="auto" w:fill="FFFFFF"/>
          <w:lang w:val="en-US" w:eastAsia="zh-CN"/>
        </w:rPr>
        <w:t>五</w:t>
      </w:r>
      <w:r>
        <w:rPr>
          <w:rFonts w:hint="eastAsia" w:ascii="楷体_GB2312" w:hAnsi="楷体_GB2312" w:eastAsia="楷体_GB2312" w:cs="楷体_GB2312"/>
          <w:b/>
          <w:bCs/>
          <w:sz w:val="32"/>
          <w:szCs w:val="32"/>
          <w:shd w:val="clear" w:color="auto" w:fill="FFFFFF"/>
        </w:rPr>
        <w:t>）</w:t>
      </w:r>
      <w:r>
        <w:rPr>
          <w:rFonts w:hint="eastAsia" w:ascii="楷体_GB2312" w:hAnsi="楷体_GB2312" w:eastAsia="楷体_GB2312" w:cs="楷体_GB2312"/>
          <w:b/>
          <w:bCs/>
          <w:sz w:val="32"/>
          <w:szCs w:val="32"/>
          <w:shd w:val="clear" w:color="auto" w:fill="FFFFFF"/>
          <w:lang w:val="en-US" w:eastAsia="zh-CN"/>
        </w:rPr>
        <w:t>创新应用自研</w:t>
      </w:r>
    </w:p>
    <w:p>
      <w:pPr>
        <w:spacing w:line="560" w:lineRule="exact"/>
        <w:ind w:firstLine="641"/>
        <w:jc w:val="both"/>
        <w:rPr>
          <w:rFonts w:hint="eastAsia" w:ascii="仿宋_GB2312" w:hAnsi="Times New Roman" w:eastAsia="仿宋_GB2312"/>
          <w:color w:val="FF0000"/>
          <w:sz w:val="32"/>
          <w:szCs w:val="32"/>
          <w:lang w:val="en-US" w:eastAsia="zh-CN"/>
        </w:rPr>
      </w:pPr>
      <w:r>
        <w:rPr>
          <w:rFonts w:hint="eastAsia" w:ascii="仿宋_GB2312" w:hAnsi="Times New Roman" w:eastAsia="仿宋_GB2312"/>
          <w:sz w:val="32"/>
          <w:szCs w:val="32"/>
          <w:lang w:val="en-US" w:eastAsia="zh-CN"/>
        </w:rPr>
        <w:t>2024年度通过自主研发为工会、计划财务处、后勤服务中心、人事处等部门学院研发系统、应用及流程30个，包括健康医院体检、教工路值班安排、端午节福利选择、乐行校园、拍卡签到、教师个人数字空间、跨学科数据共享、导学沟通、开发学宿费催缴系统、商大百事通、终身学伴、AI马克思、法律咨询智能问答、事件中心（事件的注册、业务系统功能注册和功能的编排等）、数字金点子、财务经费立项、中层人员因私出国（境）、专项工作任务、二级岗位聘岗、三级岗位聘岗、印章刻制申请、系统上线一件事、跨学科数据申请、安全通报、网站（系统）备案、自助证明、部门邮箱、议题申报等。完成自研项目升级2项，分别为干事对账系统升级15次和综合考核系统升级16次。</w:t>
      </w:r>
    </w:p>
    <w:p>
      <w:pPr>
        <w:spacing w:line="560" w:lineRule="exact"/>
        <w:ind w:firstLine="641"/>
        <w:jc w:val="both"/>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w:t>
      </w:r>
      <w:r>
        <w:rPr>
          <w:rFonts w:hint="eastAsia" w:ascii="楷体_GB2312" w:hAnsi="楷体_GB2312" w:eastAsia="楷体_GB2312" w:cs="楷体_GB2312"/>
          <w:b/>
          <w:bCs/>
          <w:sz w:val="32"/>
          <w:szCs w:val="32"/>
          <w:shd w:val="clear" w:color="auto" w:fill="FFFFFF"/>
          <w:lang w:val="en-US" w:eastAsia="zh-CN"/>
        </w:rPr>
        <w:t>六</w:t>
      </w:r>
      <w:r>
        <w:rPr>
          <w:rFonts w:hint="eastAsia" w:ascii="楷体_GB2312" w:hAnsi="楷体_GB2312" w:eastAsia="楷体_GB2312" w:cs="楷体_GB2312"/>
          <w:b/>
          <w:bCs/>
          <w:sz w:val="32"/>
          <w:szCs w:val="32"/>
          <w:shd w:val="clear" w:color="auto" w:fill="FFFFFF"/>
        </w:rPr>
        <w:t>）数字化校园基础设施建设</w:t>
      </w:r>
    </w:p>
    <w:p>
      <w:pPr>
        <w:spacing w:line="560" w:lineRule="exact"/>
        <w:ind w:firstLine="641"/>
        <w:jc w:val="both"/>
        <w:rPr>
          <w:rFonts w:hint="eastAsia" w:ascii="仿宋_GB2312" w:hAnsi="Times New Roman" w:eastAsia="仿宋_GB2312"/>
          <w:b/>
          <w:bCs/>
          <w:sz w:val="32"/>
          <w:szCs w:val="32"/>
          <w:lang w:val="en-US" w:eastAsia="zh-CN"/>
        </w:rPr>
      </w:pPr>
      <w:r>
        <w:rPr>
          <w:rFonts w:hint="eastAsia" w:ascii="仿宋_GB2312" w:hAnsi="Times New Roman" w:eastAsia="仿宋_GB2312"/>
          <w:b/>
          <w:bCs/>
          <w:sz w:val="32"/>
          <w:szCs w:val="32"/>
          <w:lang w:val="en-US" w:eastAsia="zh-CN"/>
        </w:rPr>
        <w:t>1.学生无线使用体验提升</w:t>
      </w:r>
    </w:p>
    <w:p>
      <w:pPr>
        <w:spacing w:line="560" w:lineRule="exact"/>
        <w:ind w:firstLine="641"/>
        <w:jc w:val="both"/>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对教学区的无线网络、主干网络进一步升级，做到主干楼宇至核心出口全40G互联，搭建无线网络专网，利用不同的优化技术，进一步提升网络性能和效率。将生活区无线网络延伸至教学区，提高学生教学区无线网速2倍以上；下沙校区教学区无线网络覆盖，图书馆、教室等人员密集区更新并增补无线设备共计565个，升级为WiFi6覆盖，提升网络速率，满足学生高密度入网需求。</w:t>
      </w:r>
    </w:p>
    <w:p>
      <w:pPr>
        <w:spacing w:line="560" w:lineRule="exact"/>
        <w:ind w:firstLine="641"/>
        <w:jc w:val="both"/>
        <w:rPr>
          <w:rFonts w:hint="eastAsia" w:ascii="仿宋_GB2312" w:hAnsi="Times New Roman" w:eastAsia="仿宋_GB2312"/>
          <w:b/>
          <w:bCs/>
          <w:sz w:val="32"/>
          <w:szCs w:val="32"/>
          <w:lang w:val="en-US" w:eastAsia="zh-CN"/>
        </w:rPr>
      </w:pPr>
      <w:r>
        <w:rPr>
          <w:rFonts w:hint="eastAsia" w:ascii="仿宋_GB2312" w:hAnsi="Times New Roman" w:eastAsia="仿宋_GB2312"/>
          <w:b/>
          <w:bCs/>
          <w:sz w:val="32"/>
          <w:szCs w:val="32"/>
          <w:lang w:val="en-US" w:eastAsia="zh-CN"/>
        </w:rPr>
        <w:t>2.教工路校区网络改造</w:t>
      </w:r>
    </w:p>
    <w:p>
      <w:pPr>
        <w:spacing w:line="560" w:lineRule="exact"/>
        <w:ind w:firstLine="641"/>
        <w:jc w:val="both"/>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协调运营商投入资源，建设教工路校区学生宿舍宽带网络，确保与下沙宿舍网络实现统一的有线和无线一体化全光高速宽带标准。对310间教工路宿舍进行改造，新增1台OLT设备，安装310个万兆ONU，并实施17500米的光纤入户工程。同时，升级教工路校区网络骨干设备和汇聚线路，新敷设4路楼宇间光缆。在教工路校区1号行政楼、图书馆、教室、自习室等区域增补90个校园网无线设备。</w:t>
      </w:r>
    </w:p>
    <w:p>
      <w:pPr>
        <w:spacing w:line="560" w:lineRule="exact"/>
        <w:ind w:firstLine="641"/>
        <w:jc w:val="both"/>
        <w:rPr>
          <w:rFonts w:hint="eastAsia" w:ascii="仿宋_GB2312" w:hAnsi="Times New Roman" w:eastAsia="仿宋_GB2312"/>
          <w:b/>
          <w:bCs/>
          <w:sz w:val="32"/>
          <w:szCs w:val="32"/>
          <w:lang w:val="en-US" w:eastAsia="zh-CN"/>
        </w:rPr>
      </w:pPr>
      <w:r>
        <w:rPr>
          <w:rFonts w:hint="eastAsia" w:ascii="仿宋_GB2312" w:hAnsi="Times New Roman" w:eastAsia="仿宋_GB2312"/>
          <w:b/>
          <w:bCs/>
          <w:sz w:val="32"/>
          <w:szCs w:val="32"/>
          <w:lang w:val="en-US" w:eastAsia="zh-CN"/>
        </w:rPr>
        <w:t>3.校外访问内网资源优化</w:t>
      </w:r>
    </w:p>
    <w:p>
      <w:pPr>
        <w:spacing w:after="100"/>
        <w:ind w:firstLine="640" w:firstLineChars="200"/>
        <w:jc w:val="both"/>
        <w:rPr>
          <w:rFonts w:hint="eastAsia" w:ascii="仿宋_GB2312" w:hAnsi="仿宋_GB2312" w:eastAsia="仿宋_GB2312" w:cs="仿宋_GB2312"/>
          <w:b/>
          <w:bCs/>
          <w:sz w:val="24"/>
          <w:lang w:val="en-US" w:eastAsia="zh-CN"/>
        </w:rPr>
      </w:pPr>
      <w:r>
        <w:rPr>
          <w:rFonts w:hint="eastAsia" w:ascii="仿宋_GB2312" w:hAnsi="Times New Roman" w:eastAsia="仿宋_GB2312"/>
          <w:sz w:val="32"/>
          <w:szCs w:val="32"/>
          <w:lang w:val="en-US" w:eastAsia="zh-CN"/>
        </w:rPr>
        <w:t>学生宿舍图书馆资源加速对接，与运营商协商完成局端IP地址改造，实现学生可在宿舍无需再使用VPN，直接访问图书馆资源，极大提升学生学习科研效率；教工免客户端Webvpn上线，访问速度、稳定性均好于原有VPN，无需下载客户端、单次登录，极大简化操作流程。</w:t>
      </w:r>
    </w:p>
    <w:p>
      <w:pPr>
        <w:spacing w:line="560" w:lineRule="exact"/>
        <w:ind w:firstLine="641" w:firstLineChars="0"/>
        <w:rPr>
          <w:rFonts w:hint="eastAsia" w:ascii="黑体" w:hAnsi="黑体" w:eastAsia="黑体" w:cs="黑体"/>
          <w:b w:val="0"/>
          <w:bCs/>
          <w:sz w:val="32"/>
          <w:szCs w:val="32"/>
          <w:shd w:val="clear"/>
          <w:lang w:val="en-US" w:eastAsia="zh-CN"/>
        </w:rPr>
      </w:pPr>
      <w:r>
        <w:rPr>
          <w:rFonts w:hint="eastAsia" w:ascii="黑体" w:hAnsi="黑体" w:eastAsia="黑体" w:cs="黑体"/>
          <w:b w:val="0"/>
          <w:bCs/>
          <w:sz w:val="32"/>
          <w:szCs w:val="32"/>
          <w:shd w:val="clear"/>
          <w:lang w:val="en-US" w:eastAsia="zh-CN"/>
        </w:rPr>
        <w:t>二</w:t>
      </w:r>
      <w:r>
        <w:rPr>
          <w:rFonts w:hint="eastAsia" w:ascii="黑体" w:hAnsi="黑体" w:eastAsia="黑体" w:cs="黑体"/>
          <w:b w:val="0"/>
          <w:bCs/>
          <w:sz w:val="32"/>
          <w:szCs w:val="32"/>
          <w:shd w:val="clear"/>
        </w:rPr>
        <w:t>、202</w:t>
      </w:r>
      <w:r>
        <w:rPr>
          <w:rFonts w:hint="eastAsia" w:ascii="黑体" w:hAnsi="黑体" w:eastAsia="黑体" w:cs="黑体"/>
          <w:b w:val="0"/>
          <w:bCs/>
          <w:sz w:val="32"/>
          <w:szCs w:val="32"/>
          <w:shd w:val="clear"/>
          <w:lang w:val="en-US" w:eastAsia="zh-CN"/>
        </w:rPr>
        <w:t>4</w:t>
      </w:r>
      <w:r>
        <w:rPr>
          <w:rFonts w:hint="eastAsia" w:ascii="黑体" w:hAnsi="黑体" w:eastAsia="黑体" w:cs="黑体"/>
          <w:b w:val="0"/>
          <w:bCs/>
          <w:sz w:val="32"/>
          <w:szCs w:val="32"/>
          <w:shd w:val="clear"/>
        </w:rPr>
        <w:t>年度</w:t>
      </w:r>
      <w:r>
        <w:rPr>
          <w:rFonts w:hint="eastAsia" w:ascii="黑体" w:hAnsi="黑体" w:eastAsia="黑体" w:cs="黑体"/>
          <w:b w:val="0"/>
          <w:bCs/>
          <w:sz w:val="32"/>
          <w:szCs w:val="32"/>
          <w:shd w:val="clear"/>
          <w:lang w:val="en-US" w:eastAsia="zh-CN"/>
        </w:rPr>
        <w:t>信息化项目立项情况</w:t>
      </w:r>
    </w:p>
    <w:tbl>
      <w:tblPr>
        <w:tblStyle w:val="9"/>
        <w:tblW w:w="91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2"/>
        <w:gridCol w:w="2231"/>
        <w:gridCol w:w="3601"/>
        <w:gridCol w:w="1339"/>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序号</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部门</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项目名称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立项金额</w:t>
            </w:r>
          </w:p>
          <w:p>
            <w:pPr>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（万元）</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当前</w:t>
            </w:r>
          </w:p>
          <w:p>
            <w:pPr>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档案馆、校史馆</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网上数字校史馆建设</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校办公室</w:t>
            </w:r>
          </w:p>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（法律事务室）</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合同管理信息系统</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49.56</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心理健康中心</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心理服务平台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45</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招生与就业指导处</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本科招生宣传管理系统</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资产处</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资产一体化综合管理平台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55</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计财处</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智慧采购信息化管理平台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计财处</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智能财务系统升级</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128</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后勤服务中心</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智慧后勤一体化服务平台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保卫处</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“智安校园”项目</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138.5</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审计处</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智慧审计平台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计财处</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科研财务智能作业项目</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153.5</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资产处</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公共资源智能监测平台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公管处（校医院）</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医疗事务报销模块</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社科部、科技部</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学者中外文论文自助认领系统</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社会科学部</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智库编辑部投稿系统</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信电学院</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人工智能科研创新服务平台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数字办</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信息化项目管理平台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数字办</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智能报修服务平台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数字办</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孪生校园（一期）</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数字办</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新一代网络认证平台</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21</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合计</w:t>
            </w:r>
          </w:p>
        </w:tc>
        <w:tc>
          <w:tcPr>
            <w:tcW w:w="13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1001.56</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_GB2312" w:hAnsi="仿宋_GB2312" w:eastAsia="仿宋_GB2312" w:cs="仿宋_GB2312"/>
                <w:sz w:val="24"/>
                <w:lang w:val="en-US" w:eastAsia="zh-CN"/>
              </w:rPr>
            </w:pPr>
          </w:p>
        </w:tc>
      </w:tr>
    </w:tbl>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小标宋简体" w:eastAsia="方正小标宋简体"/>
          <w:sz w:val="36"/>
          <w:szCs w:val="36"/>
        </w:rPr>
      </w:pPr>
      <w:r>
        <w:rPr>
          <w:rFonts w:hint="eastAsia" w:ascii="方正小标宋简体" w:eastAsia="方正小标宋简体"/>
          <w:sz w:val="36"/>
          <w:szCs w:val="36"/>
        </w:rPr>
        <w:br w:type="page"/>
      </w:r>
    </w:p>
    <w:p>
      <w:pPr>
        <w:keepNext w:val="0"/>
        <w:keepLines w:val="0"/>
        <w:pageBreakBefore w:val="0"/>
        <w:widowControl w:val="0"/>
        <w:kinsoku/>
        <w:wordWrap/>
        <w:overflowPunct/>
        <w:topLinePunct w:val="0"/>
        <w:autoSpaceDE/>
        <w:autoSpaceDN/>
        <w:bidi w:val="0"/>
        <w:adjustRightInd/>
        <w:spacing w:line="600" w:lineRule="exact"/>
        <w:ind w:firstLine="0"/>
        <w:jc w:val="center"/>
        <w:textAlignment w:val="auto"/>
        <w:rPr>
          <w:rFonts w:ascii="仿宋_GB2312" w:eastAsia="仿宋_GB2312"/>
          <w:sz w:val="32"/>
          <w:szCs w:val="32"/>
        </w:rPr>
      </w:pPr>
      <w:r>
        <w:rPr>
          <w:rFonts w:hint="eastAsia" w:ascii="方正小标宋简体" w:eastAsia="方正小标宋简体"/>
          <w:sz w:val="36"/>
          <w:szCs w:val="36"/>
        </w:rPr>
        <w:t>2024年</w:t>
      </w:r>
      <w:r>
        <w:rPr>
          <w:rFonts w:hint="eastAsia" w:ascii="方正小标宋简体" w:eastAsia="方正小标宋简体"/>
          <w:sz w:val="36"/>
          <w:szCs w:val="36"/>
          <w:lang w:val="en-US" w:eastAsia="zh-CN"/>
        </w:rPr>
        <w:t>选人用人</w:t>
      </w:r>
      <w:r>
        <w:rPr>
          <w:rFonts w:hint="eastAsia" w:ascii="方正小标宋简体" w:eastAsia="方正小标宋简体"/>
          <w:sz w:val="36"/>
          <w:szCs w:val="36"/>
        </w:rPr>
        <w:t>工作</w:t>
      </w:r>
      <w:r>
        <w:rPr>
          <w:rFonts w:hint="eastAsia" w:ascii="方正小标宋简体" w:eastAsia="方正小标宋简体"/>
          <w:sz w:val="36"/>
          <w:szCs w:val="36"/>
          <w:lang w:val="en-US" w:eastAsia="zh-CN"/>
        </w:rPr>
        <w:t>公开</w:t>
      </w:r>
      <w:r>
        <w:rPr>
          <w:rFonts w:hint="eastAsia" w:ascii="方正小标宋简体" w:eastAsia="方正小标宋简体"/>
          <w:sz w:val="36"/>
          <w:szCs w:val="36"/>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年，学校党委</w:t>
      </w:r>
      <w:r>
        <w:rPr>
          <w:rFonts w:hint="eastAsia" w:ascii="仿宋_GB2312" w:hAnsi="仿宋_GB2312" w:eastAsia="仿宋_GB2312" w:cs="仿宋_GB2312"/>
          <w:color w:val="auto"/>
          <w:sz w:val="32"/>
          <w:szCs w:val="32"/>
          <w:lang w:val="en-US" w:eastAsia="zh-CN"/>
        </w:rPr>
        <w:t>坚持以</w:t>
      </w:r>
      <w:r>
        <w:rPr>
          <w:rFonts w:hint="eastAsia" w:ascii="仿宋_GB2312" w:hAnsi="仿宋_GB2312" w:eastAsia="仿宋_GB2312" w:cs="仿宋_GB2312"/>
          <w:color w:val="auto"/>
          <w:sz w:val="32"/>
          <w:szCs w:val="32"/>
        </w:rPr>
        <w:t>习近平新时代中国特色社会主义思想</w:t>
      </w:r>
      <w:r>
        <w:rPr>
          <w:rFonts w:hint="eastAsia" w:ascii="仿宋_GB2312" w:hAnsi="仿宋_GB2312" w:eastAsia="仿宋_GB2312" w:cs="仿宋_GB2312"/>
          <w:color w:val="auto"/>
          <w:sz w:val="32"/>
          <w:szCs w:val="32"/>
          <w:lang w:val="en-US" w:eastAsia="zh-CN"/>
        </w:rPr>
        <w:t>为指引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深入学习贯彻党的二十大和二十届二中、三中全会精神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对标落实省委“三支队伍”建设要求，制定商大版“三支队伍”建设方案，精准把握“三看”“三破”“三到”干部选任原则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把干部“质量关”，坚持以“六干”精神锤炼干部担当本领，加强干部梯队优化和能力培养，落实以实绩实效考察干部要求，推动干部能上能下，推进干部队伍能力更加过硬、作风更加严实，推动形成“关键少数”发挥“关键作用”的良好局面。广大干部以过硬的政治素质、专业的履职能力、强烈的责任担当、时不我待的创业精神，全力保障高水平大学建设。</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坚持</w:t>
      </w:r>
      <w:r>
        <w:rPr>
          <w:rFonts w:hint="eastAsia" w:ascii="楷体_GB2312" w:hAnsi="楷体_GB2312" w:eastAsia="楷体_GB2312" w:cs="楷体_GB2312"/>
          <w:b/>
          <w:bCs/>
          <w:color w:val="auto"/>
          <w:sz w:val="32"/>
          <w:szCs w:val="32"/>
          <w:highlight w:val="none"/>
          <w:lang w:val="en-US" w:eastAsia="zh-CN"/>
        </w:rPr>
        <w:t>依事择人</w:t>
      </w:r>
      <w:r>
        <w:rPr>
          <w:rFonts w:hint="eastAsia" w:ascii="楷体_GB2312" w:hAnsi="楷体_GB2312" w:eastAsia="楷体_GB2312" w:cs="楷体_GB2312"/>
          <w:b/>
          <w:bCs/>
          <w:color w:val="auto"/>
          <w:sz w:val="32"/>
          <w:szCs w:val="32"/>
          <w:highlight w:val="none"/>
        </w:rPr>
        <w:t>公道正派，不断提高选人用人质量</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仿宋_GB2312" w:hAnsi="仿宋_GB2312" w:eastAsia="仿宋_GB2312" w:cs="仿宋_GB2312"/>
          <w:b w:val="0"/>
          <w:bCs w:val="0"/>
          <w:color w:val="0000FF"/>
          <w:sz w:val="32"/>
          <w:szCs w:val="32"/>
          <w:highlight w:val="none"/>
          <w:lang w:val="en-US" w:eastAsia="zh-CN"/>
        </w:rPr>
      </w:pPr>
      <w:r>
        <w:rPr>
          <w:rFonts w:hint="eastAsia" w:ascii="仿宋_GB2312" w:hAnsi="仿宋_GB2312" w:eastAsia="仿宋_GB2312" w:cs="仿宋_GB2312"/>
          <w:b/>
          <w:bCs/>
          <w:color w:val="auto"/>
          <w:sz w:val="32"/>
          <w:szCs w:val="32"/>
          <w:lang w:val="en-US" w:eastAsia="zh-CN"/>
        </w:rPr>
        <w:t>一是坚持党管干部原则。</w:t>
      </w:r>
      <w:r>
        <w:rPr>
          <w:rFonts w:hint="eastAsia" w:ascii="仿宋_GB2312" w:hAnsi="仿宋_GB2312" w:eastAsia="仿宋_GB2312" w:cs="仿宋_GB2312"/>
          <w:color w:val="auto"/>
          <w:sz w:val="32"/>
          <w:szCs w:val="32"/>
          <w:lang w:val="en-US" w:eastAsia="zh-CN"/>
        </w:rPr>
        <w:t>学校党委年度专题研究干部工作、分析研判队伍建设，着力破解二级领导班子和干部队伍建设中的重点难点问题。用好上一轮省委巡视整改成果，聚焦发挥制度长效，围绕全面增</w:t>
      </w:r>
      <w:r>
        <w:rPr>
          <w:rFonts w:hint="eastAsia" w:ascii="仿宋_GB2312" w:hAnsi="仿宋_GB2312" w:eastAsia="仿宋_GB2312" w:cs="仿宋_GB2312"/>
          <w:color w:val="auto"/>
          <w:sz w:val="32"/>
          <w:szCs w:val="32"/>
          <w:highlight w:val="none"/>
          <w:lang w:val="en-US" w:eastAsia="zh-CN"/>
        </w:rPr>
        <w:t>强</w:t>
      </w:r>
      <w:r>
        <w:rPr>
          <w:rFonts w:hint="eastAsia" w:ascii="仿宋_GB2312" w:eastAsia="仿宋_GB2312" w:cs="黑体"/>
          <w:color w:val="000000"/>
          <w:sz w:val="32"/>
          <w:szCs w:val="32"/>
          <w:highlight w:val="none"/>
        </w:rPr>
        <w:t>班子凝聚力、队伍战斗力、部门协同力、干部向心力</w:t>
      </w:r>
      <w:r>
        <w:rPr>
          <w:rFonts w:hint="eastAsia" w:ascii="仿宋_GB2312" w:eastAsia="仿宋_GB2312" w:cs="黑体"/>
          <w:color w:val="00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强化跟踪，严格落实，</w:t>
      </w:r>
      <w:r>
        <w:rPr>
          <w:rFonts w:hint="eastAsia" w:ascii="仿宋_GB2312" w:eastAsia="仿宋_GB2312" w:cs="仿宋_GB2312"/>
          <w:color w:val="000000"/>
          <w:sz w:val="32"/>
          <w:szCs w:val="32"/>
          <w:highlight w:val="none"/>
        </w:rPr>
        <w:t>推动巡视成果更好转化为工作效能。</w:t>
      </w:r>
      <w:r>
        <w:rPr>
          <w:rFonts w:hint="eastAsia" w:ascii="仿宋_GB2312" w:eastAsia="仿宋_GB2312" w:cs="黑体"/>
          <w:b/>
          <w:bCs w:val="0"/>
          <w:color w:val="000000"/>
          <w:sz w:val="32"/>
          <w:szCs w:val="32"/>
        </w:rPr>
        <w:t>二是落实党委选人用人主体责任</w:t>
      </w:r>
      <w:r>
        <w:rPr>
          <w:rFonts w:hint="eastAsia" w:ascii="仿宋_GB2312" w:eastAsia="仿宋_GB2312" w:cs="黑体"/>
          <w:b/>
          <w:bCs w:val="0"/>
          <w:color w:val="000000"/>
          <w:sz w:val="32"/>
          <w:szCs w:val="32"/>
          <w:lang w:eastAsia="zh-CN"/>
        </w:rPr>
        <w:t>。</w:t>
      </w:r>
      <w:r>
        <w:rPr>
          <w:rFonts w:hint="eastAsia" w:ascii="仿宋_GB2312" w:hAnsi="仿宋_GB2312" w:eastAsia="仿宋_GB2312" w:cs="仿宋_GB2312"/>
          <w:b w:val="0"/>
          <w:bCs w:val="0"/>
          <w:color w:val="auto"/>
          <w:sz w:val="32"/>
          <w:szCs w:val="32"/>
          <w:lang w:val="en-US" w:eastAsia="zh-CN"/>
        </w:rPr>
        <w:t>根据高水平大学及干部梯队建设需要，全年</w:t>
      </w:r>
      <w:r>
        <w:rPr>
          <w:rFonts w:hint="eastAsia" w:ascii="仿宋_GB2312" w:hAnsi="仿宋_GB2312" w:eastAsia="仿宋_GB2312" w:cs="仿宋_GB2312"/>
          <w:b w:val="0"/>
          <w:bCs w:val="0"/>
          <w:color w:val="auto"/>
          <w:sz w:val="32"/>
          <w:szCs w:val="32"/>
        </w:rPr>
        <w:t>提拔使用中层</w:t>
      </w:r>
      <w:r>
        <w:rPr>
          <w:rFonts w:hint="eastAsia" w:ascii="仿宋_GB2312" w:hAnsi="仿宋_GB2312" w:eastAsia="仿宋_GB2312" w:cs="仿宋_GB2312"/>
          <w:b w:val="0"/>
          <w:bCs w:val="0"/>
          <w:color w:val="auto"/>
          <w:sz w:val="32"/>
          <w:szCs w:val="32"/>
          <w:lang w:val="en-US" w:eastAsia="zh-CN"/>
        </w:rPr>
        <w:t>领导人员17</w:t>
      </w:r>
      <w:r>
        <w:rPr>
          <w:rFonts w:hint="eastAsia" w:ascii="仿宋_GB2312" w:hAnsi="仿宋_GB2312" w:eastAsia="仿宋_GB2312" w:cs="仿宋_GB2312"/>
          <w:b w:val="0"/>
          <w:bCs w:val="0"/>
          <w:color w:val="auto"/>
          <w:sz w:val="32"/>
          <w:szCs w:val="32"/>
        </w:rPr>
        <w:t>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面向海内外公开选聘3个中层领导岗位，激活“干部池”源头活水。</w:t>
      </w:r>
      <w:r>
        <w:rPr>
          <w:rFonts w:hint="eastAsia" w:ascii="仿宋_GB2312" w:hAnsi="仿宋_GB2312" w:eastAsia="仿宋_GB2312" w:cs="仿宋_GB2312"/>
          <w:b w:val="0"/>
          <w:bCs w:val="0"/>
          <w:color w:val="auto"/>
          <w:sz w:val="32"/>
          <w:szCs w:val="32"/>
        </w:rPr>
        <w:t>平级调整中层</w:t>
      </w:r>
      <w:r>
        <w:rPr>
          <w:rFonts w:hint="eastAsia" w:ascii="仿宋_GB2312" w:hAnsi="仿宋_GB2312" w:eastAsia="仿宋_GB2312" w:cs="仿宋_GB2312"/>
          <w:b w:val="0"/>
          <w:bCs w:val="0"/>
          <w:color w:val="auto"/>
          <w:sz w:val="32"/>
          <w:szCs w:val="32"/>
          <w:lang w:val="en-US" w:eastAsia="zh-CN"/>
        </w:rPr>
        <w:t>领导人员19</w:t>
      </w:r>
      <w:r>
        <w:rPr>
          <w:rFonts w:hint="eastAsia" w:ascii="仿宋_GB2312" w:hAnsi="仿宋_GB2312" w:eastAsia="仿宋_GB2312" w:cs="仿宋_GB2312"/>
          <w:b w:val="0"/>
          <w:bCs w:val="0"/>
          <w:color w:val="auto"/>
          <w:sz w:val="32"/>
          <w:szCs w:val="32"/>
        </w:rPr>
        <w:t>人次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聘任管理五级职员2名、六级职员7名，干部结构更趋合理，干部队伍活力进一步增强。</w:t>
      </w:r>
      <w:r>
        <w:rPr>
          <w:rFonts w:hint="eastAsia" w:ascii="仿宋_GB2312" w:hAnsi="仿宋_GB2312" w:eastAsia="仿宋_GB2312" w:cs="仿宋_GB2312"/>
          <w:b/>
          <w:bCs/>
          <w:color w:val="auto"/>
          <w:sz w:val="32"/>
          <w:szCs w:val="32"/>
          <w:highlight w:val="none"/>
          <w:lang w:val="en-US" w:eastAsia="zh-CN"/>
        </w:rPr>
        <w:t>三是以考核推动干部担当作为。</w:t>
      </w:r>
      <w:r>
        <w:rPr>
          <w:rFonts w:hint="eastAsia" w:ascii="仿宋_GB2312" w:hAnsi="仿宋_GB2312" w:eastAsia="仿宋_GB2312" w:cs="仿宋_GB2312"/>
          <w:b w:val="0"/>
          <w:bCs w:val="0"/>
          <w:color w:val="auto"/>
          <w:kern w:val="2"/>
          <w:sz w:val="32"/>
          <w:szCs w:val="32"/>
          <w:highlight w:val="none"/>
          <w:lang w:val="en-US" w:eastAsia="zh-CN" w:bidi="ar-SA"/>
        </w:rPr>
        <w:t>实行“一条鞭法”综合考核，进一步完善考核指标体系，考准考实干部实绩实效，干部年度考核结果总体上与学院（部门）综合考核结果相匹配。树立“干得好才能考得好”“考得好才能继续干”的竞争导向，依事择人导向更加鲜明。</w:t>
      </w:r>
      <w:r>
        <w:rPr>
          <w:rFonts w:hint="eastAsia" w:ascii="仿宋_GB2312" w:hAnsi="仿宋_GB2312" w:eastAsia="仿宋_GB2312" w:cs="仿宋_GB2312"/>
          <w:b w:val="0"/>
          <w:bCs w:val="0"/>
          <w:color w:val="auto"/>
          <w:sz w:val="32"/>
          <w:szCs w:val="32"/>
          <w:highlight w:val="none"/>
          <w:lang w:val="en-US" w:eastAsia="zh-CN"/>
        </w:rPr>
        <w:t>完成7名试用期满一年中层领导人员考核工作，通过主要表现材料、针对性开展谈心谈话等，做好工作实绩和能力印证，对新提任中层领导人员进行有效“年检”。</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 xml:space="preserve"> 二、坚持理论武装强化学习，持续推进</w:t>
      </w:r>
      <w:r>
        <w:rPr>
          <w:rFonts w:hint="eastAsia" w:ascii="楷体_GB2312" w:hAnsi="楷体_GB2312" w:eastAsia="楷体_GB2312" w:cs="楷体_GB2312"/>
          <w:b/>
          <w:bCs/>
          <w:color w:val="auto"/>
          <w:sz w:val="32"/>
          <w:szCs w:val="32"/>
          <w:highlight w:val="none"/>
        </w:rPr>
        <w:t>干部</w:t>
      </w:r>
      <w:r>
        <w:rPr>
          <w:rFonts w:hint="eastAsia" w:ascii="楷体_GB2312" w:hAnsi="楷体_GB2312" w:eastAsia="楷体_GB2312" w:cs="楷体_GB2312"/>
          <w:b/>
          <w:bCs/>
          <w:color w:val="auto"/>
          <w:sz w:val="32"/>
          <w:szCs w:val="32"/>
          <w:highlight w:val="none"/>
          <w:lang w:val="en-US" w:eastAsia="zh-CN"/>
        </w:rPr>
        <w:t>素养提升</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一是持续推进习近平新时代中国特色社会主义思想凝心铸魂</w:t>
      </w:r>
      <w:r>
        <w:rPr>
          <w:rFonts w:hint="eastAsia" w:ascii="仿宋_GB2312" w:hAnsi="仿宋_GB2312" w:eastAsia="仿宋_GB2312" w:cs="仿宋_GB2312"/>
          <w:b w:val="0"/>
          <w:bCs w:val="0"/>
          <w:color w:val="auto"/>
          <w:sz w:val="32"/>
          <w:szCs w:val="32"/>
          <w:highlight w:val="none"/>
          <w:lang w:val="en-US" w:eastAsia="zh-CN"/>
        </w:rPr>
        <w:t>。认真组织学习习近平总书记重要讲话和指示</w:t>
      </w:r>
      <w:r>
        <w:rPr>
          <w:rFonts w:hint="default" w:ascii="仿宋_GB2312" w:hAnsi="仿宋_GB2312" w:eastAsia="仿宋_GB2312" w:cs="仿宋_GB2312"/>
          <w:b w:val="0"/>
          <w:bCs w:val="0"/>
          <w:color w:val="auto"/>
          <w:sz w:val="32"/>
          <w:szCs w:val="32"/>
          <w:highlight w:val="none"/>
          <w:lang w:eastAsia="zh-CN"/>
        </w:rPr>
        <w:t>批示</w:t>
      </w:r>
      <w:r>
        <w:rPr>
          <w:rFonts w:hint="eastAsia" w:ascii="仿宋_GB2312" w:hAnsi="仿宋_GB2312" w:eastAsia="仿宋_GB2312" w:cs="仿宋_GB2312"/>
          <w:b w:val="0"/>
          <w:bCs w:val="0"/>
          <w:color w:val="auto"/>
          <w:sz w:val="32"/>
          <w:szCs w:val="32"/>
          <w:highlight w:val="none"/>
          <w:lang w:val="en-US" w:eastAsia="zh-CN"/>
        </w:rPr>
        <w:t>精神，高质量完成党纪学习教育，高标准开展党的二十届三中全会精神集中轮训工作，实现全体中层领导人员、学术副院长、部门专聘副职和主管岗及以下干部全覆盖，全面提升干部队伍的政治素质。</w:t>
      </w:r>
      <w:r>
        <w:rPr>
          <w:rFonts w:hint="eastAsia" w:ascii="仿宋_GB2312" w:hAnsi="仿宋_GB2312" w:eastAsia="仿宋_GB2312" w:cs="仿宋_GB2312"/>
          <w:b/>
          <w:bCs/>
          <w:color w:val="auto"/>
          <w:sz w:val="32"/>
          <w:szCs w:val="32"/>
          <w:highlight w:val="none"/>
          <w:lang w:val="en-US" w:eastAsia="zh-CN"/>
        </w:rPr>
        <w:t>二是多措并举全面提升培训质量。</w:t>
      </w:r>
      <w:r>
        <w:rPr>
          <w:rFonts w:hint="eastAsia" w:ascii="仿宋_GB2312" w:hAnsi="仿宋_GB2312" w:eastAsia="仿宋_GB2312" w:cs="仿宋_GB2312"/>
          <w:b w:val="0"/>
          <w:bCs w:val="0"/>
          <w:color w:val="auto"/>
          <w:sz w:val="32"/>
          <w:szCs w:val="32"/>
          <w:highlight w:val="none"/>
          <w:lang w:val="en-US" w:eastAsia="zh-CN"/>
        </w:rPr>
        <w:t>本年度共选派46名干部参加国家教育行政学院、省委党校等各级各类集中调训，组织560名中层领导人员、主管岗人员等参加浙江领导干部网络学院在线学习教育。举办暑期干部读书班，组织71名干部赴古田、瑞金、红旗渠等红色教育基地开展政绩观教育锤炼党性。发挥校本级党校教育功能，结合学校工作实际，组织开展校内培训10余场，培训干部1958人次。承办省委教育工委第二十四期钱塘片区高校干部校际培训班，为干部校际交流创建平台。</w:t>
      </w:r>
      <w:r>
        <w:rPr>
          <w:rFonts w:hint="eastAsia" w:ascii="仿宋_GB2312" w:hAnsi="仿宋_GB2312" w:eastAsia="仿宋_GB2312" w:cs="仿宋_GB2312"/>
          <w:b/>
          <w:bCs/>
          <w:color w:val="auto"/>
          <w:sz w:val="32"/>
          <w:szCs w:val="32"/>
          <w:highlight w:val="none"/>
          <w:lang w:val="en-US" w:eastAsia="zh-CN"/>
        </w:rPr>
        <w:t>三是抓牢“关键少数”</w:t>
      </w:r>
      <w:r>
        <w:rPr>
          <w:rFonts w:hint="eastAsia" w:ascii="仿宋_GB2312" w:hAnsi="仿宋_GB2312" w:eastAsia="仿宋_GB2312" w:cs="仿宋_GB2312"/>
          <w:b/>
          <w:bCs/>
          <w:color w:val="auto"/>
          <w:sz w:val="32"/>
          <w:szCs w:val="32"/>
          <w:highlight w:val="none"/>
          <w:lang w:val="en-US" w:eastAsia="zh-CN"/>
        </w:rPr>
        <w:fldChar w:fldCharType="begin"/>
      </w:r>
      <w:r>
        <w:rPr>
          <w:rFonts w:hint="eastAsia" w:ascii="仿宋_GB2312" w:hAnsi="仿宋_GB2312" w:eastAsia="仿宋_GB2312" w:cs="仿宋_GB2312"/>
          <w:b/>
          <w:bCs/>
          <w:color w:val="auto"/>
          <w:sz w:val="32"/>
          <w:szCs w:val="32"/>
          <w:highlight w:val="none"/>
          <w:lang w:val="en-US" w:eastAsia="zh-CN"/>
        </w:rPr>
        <w:instrText xml:space="preserve"> HYPERLINK "http://www.baidu.com/link?url=BII7qqL99fIBPlgRi7d0TrS-F24Ep3Nwyx3X2B76UJsG0HFz4dls18gh1qr-KxXBmVNyU30ztrjCTA4aLfnvqEuG4I_a02_JkHYhQAbo1q3" \t "https://www.baidu.com/_blank" </w:instrText>
      </w:r>
      <w:r>
        <w:rPr>
          <w:rFonts w:hint="eastAsia" w:ascii="仿宋_GB2312" w:hAnsi="仿宋_GB2312" w:eastAsia="仿宋_GB2312" w:cs="仿宋_GB2312"/>
          <w:b/>
          <w:bCs/>
          <w:color w:val="auto"/>
          <w:sz w:val="32"/>
          <w:szCs w:val="32"/>
          <w:highlight w:val="none"/>
          <w:lang w:val="en-US" w:eastAsia="zh-CN"/>
        </w:rPr>
        <w:fldChar w:fldCharType="separate"/>
      </w:r>
      <w:r>
        <w:rPr>
          <w:rFonts w:hint="eastAsia" w:ascii="仿宋_GB2312" w:hAnsi="仿宋_GB2312" w:eastAsia="仿宋_GB2312" w:cs="仿宋_GB2312"/>
          <w:b/>
          <w:bCs/>
          <w:color w:val="auto"/>
          <w:sz w:val="32"/>
          <w:szCs w:val="32"/>
          <w:highlight w:val="none"/>
          <w:lang w:val="en-US" w:eastAsia="zh-CN"/>
        </w:rPr>
        <w:t>发挥“头雁”作用。</w:t>
      </w:r>
      <w:r>
        <w:rPr>
          <w:rFonts w:hint="eastAsia" w:ascii="仿宋_GB2312" w:hAnsi="仿宋_GB2312" w:eastAsia="仿宋_GB2312" w:cs="仿宋_GB2312"/>
          <w:b/>
          <w:bCs/>
          <w:color w:val="auto"/>
          <w:sz w:val="32"/>
          <w:szCs w:val="32"/>
          <w:highlight w:val="none"/>
          <w:lang w:val="en-US" w:eastAsia="zh-CN"/>
        </w:rPr>
        <w:fldChar w:fldCharType="end"/>
      </w:r>
      <w:r>
        <w:rPr>
          <w:rFonts w:hint="eastAsia" w:ascii="仿宋_GB2312" w:hAnsi="仿宋_GB2312" w:eastAsia="仿宋_GB2312" w:cs="仿宋_GB2312"/>
          <w:b w:val="0"/>
          <w:bCs w:val="0"/>
          <w:color w:val="auto"/>
          <w:sz w:val="32"/>
          <w:szCs w:val="32"/>
          <w:highlight w:val="none"/>
          <w:lang w:val="en-US" w:eastAsia="zh-CN"/>
        </w:rPr>
        <w:t>全年举办学院（部门）工作交流会4场，58位中层正职领导现场交流工作，亮晒成绩、分析问题、谋划对策，突出问题导向，营造比学赶超氛围，激活“雁阵效应”。</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三、坚持对标落实使命愿景，全面建强卓越干部队伍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一是充分发挥和放大重要办学指示和祝贺关爱的政治优势。</w:t>
      </w:r>
      <w:r>
        <w:rPr>
          <w:rFonts w:hint="eastAsia" w:ascii="仿宋_GB2312" w:hAnsi="仿宋_GB2312" w:eastAsia="仿宋_GB2312" w:cs="仿宋_GB2312"/>
          <w:b w:val="0"/>
          <w:bCs w:val="0"/>
          <w:color w:val="auto"/>
          <w:sz w:val="32"/>
          <w:szCs w:val="32"/>
          <w:highlight w:val="none"/>
          <w:lang w:val="en-US" w:eastAsia="zh-CN"/>
        </w:rPr>
        <w:t>围绕习近平总书记对学校提出的“在全国有位置、全省很重要”指示批示要求，动员全校党员干部始终把服务国家作为崇高追求，持续深化“六大一号工程”建设，凝练形成学校使命愿景红皮书战略部署，凝聚大共识，明确大方向，形成大合力，以高素质干部队伍助推事业高质量发展。</w:t>
      </w:r>
      <w:r>
        <w:rPr>
          <w:rFonts w:hint="eastAsia" w:ascii="仿宋_GB2312" w:hAnsi="仿宋_GB2312" w:eastAsia="仿宋_GB2312" w:cs="仿宋_GB2312"/>
          <w:b/>
          <w:bCs/>
          <w:color w:val="auto"/>
          <w:sz w:val="32"/>
          <w:szCs w:val="32"/>
          <w:highlight w:val="none"/>
          <w:lang w:val="en-US" w:eastAsia="zh-CN"/>
        </w:rPr>
        <w:t>二是全面做好中层领导人员人事档案专审和数字化工作。</w:t>
      </w:r>
      <w:r>
        <w:rPr>
          <w:rFonts w:hint="eastAsia" w:ascii="仿宋_GB2312" w:hAnsi="仿宋_GB2312" w:eastAsia="仿宋_GB2312" w:cs="仿宋_GB2312"/>
          <w:b w:val="0"/>
          <w:bCs w:val="0"/>
          <w:color w:val="auto"/>
          <w:sz w:val="32"/>
          <w:szCs w:val="32"/>
          <w:highlight w:val="none"/>
          <w:lang w:val="en-US" w:eastAsia="zh-CN"/>
        </w:rPr>
        <w:t>运用数字化手段，优化数据管理，对干部履历、经历等进行系统梳理，准确掌握干部学历、业绩和发展所需，为研判干部一贯表现提供支撑。采取“履历业绩评价”的方式，择优考选干部。</w:t>
      </w:r>
      <w:r>
        <w:rPr>
          <w:rFonts w:hint="eastAsia" w:ascii="仿宋_GB2312" w:hAnsi="仿宋_GB2312" w:eastAsia="仿宋_GB2312" w:cs="仿宋_GB2312"/>
          <w:b/>
          <w:bCs/>
          <w:color w:val="auto"/>
          <w:sz w:val="32"/>
          <w:szCs w:val="32"/>
          <w:highlight w:val="none"/>
          <w:lang w:val="en-US" w:eastAsia="zh-CN"/>
        </w:rPr>
        <w:t>三是抓好新入职教职工初任培训。</w:t>
      </w:r>
      <w:r>
        <w:rPr>
          <w:rFonts w:hint="eastAsia" w:ascii="仿宋_GB2312" w:hAnsi="仿宋_GB2312" w:eastAsia="仿宋_GB2312" w:cs="仿宋_GB2312"/>
          <w:b w:val="0"/>
          <w:bCs w:val="0"/>
          <w:color w:val="auto"/>
          <w:sz w:val="32"/>
          <w:szCs w:val="32"/>
          <w:highlight w:val="none"/>
          <w:lang w:val="en-US" w:eastAsia="zh-CN"/>
        </w:rPr>
        <w:t>把学院、部门领导“第一导师”责任贯穿干部成长全生命周期，充分发挥业务主管、学术骨干启蒙导师作用，由“修行靠个人”转变为有组织管、有领导带、有师傅教、有众人帮，形成“1＋1＋N”的“传帮带”培养模式，帮助新入职教职工上好“第一课”、迈好“第一步”。</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四、坚持</w:t>
      </w:r>
      <w:r>
        <w:rPr>
          <w:rFonts w:hint="eastAsia" w:ascii="楷体_GB2312" w:hAnsi="楷体_GB2312" w:eastAsia="楷体_GB2312" w:cs="楷体_GB2312"/>
          <w:b/>
          <w:bCs/>
          <w:color w:val="auto"/>
          <w:sz w:val="32"/>
          <w:szCs w:val="32"/>
          <w:highlight w:val="none"/>
          <w:lang w:val="zh-CN" w:eastAsia="zh-CN"/>
        </w:rPr>
        <w:t>强化纪律规矩意识，</w:t>
      </w:r>
      <w:r>
        <w:rPr>
          <w:rFonts w:hint="eastAsia" w:ascii="楷体_GB2312" w:hAnsi="楷体_GB2312" w:eastAsia="楷体_GB2312" w:cs="楷体_GB2312"/>
          <w:b/>
          <w:bCs/>
          <w:color w:val="auto"/>
          <w:sz w:val="32"/>
          <w:szCs w:val="32"/>
          <w:highlight w:val="none"/>
          <w:lang w:val="en-US" w:eastAsia="zh-CN"/>
        </w:rPr>
        <w:t>实现干部监督提质增效</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一是严格落实干部监督责任。</w:t>
      </w:r>
      <w:r>
        <w:rPr>
          <w:rFonts w:hint="eastAsia" w:ascii="仿宋_GB2312" w:hAnsi="仿宋_GB2312" w:eastAsia="仿宋_GB2312" w:cs="仿宋_GB2312"/>
          <w:b w:val="0"/>
          <w:bCs w:val="0"/>
          <w:color w:val="auto"/>
          <w:sz w:val="32"/>
          <w:szCs w:val="32"/>
          <w:highlight w:val="none"/>
          <w:lang w:eastAsia="zh-CN"/>
        </w:rPr>
        <w:t>坚持把政治标准放在首位，做深做实干部政治素质考察，突出把好政治关、廉洁关。</w:t>
      </w:r>
      <w:r>
        <w:rPr>
          <w:rFonts w:hint="eastAsia" w:ascii="仿宋_GB2312" w:hAnsi="仿宋_GB2312" w:eastAsia="仿宋_GB2312" w:cs="仿宋_GB2312"/>
          <w:b w:val="0"/>
          <w:bCs w:val="0"/>
          <w:color w:val="auto"/>
          <w:sz w:val="32"/>
          <w:szCs w:val="32"/>
          <w:highlight w:val="none"/>
          <w:lang w:val="en-US" w:eastAsia="zh-CN"/>
        </w:rPr>
        <w:t>认真开展年度集中报告和重点人选查核工作，做到填报前详细讲解政策、填报中耐心指导、填报后贴心提醒。本年度随机抽查17位中层领导人员和重点查核19位拟提任干部个人有关事项，未发生填报不一致情况。</w:t>
      </w:r>
      <w:r>
        <w:rPr>
          <w:rFonts w:hint="eastAsia" w:ascii="仿宋_GB2312" w:hAnsi="仿宋_GB2312" w:eastAsia="仿宋_GB2312" w:cs="仿宋_GB2312"/>
          <w:b/>
          <w:bCs/>
          <w:color w:val="auto"/>
          <w:sz w:val="32"/>
          <w:szCs w:val="32"/>
          <w:highlight w:val="none"/>
          <w:lang w:val="en-US" w:eastAsia="zh-CN"/>
        </w:rPr>
        <w:t>二是做好干部监督政策解读。</w:t>
      </w:r>
      <w:r>
        <w:rPr>
          <w:rFonts w:hint="eastAsia" w:ascii="仿宋_GB2312" w:hAnsi="仿宋_GB2312" w:eastAsia="仿宋_GB2312" w:cs="仿宋_GB2312"/>
          <w:b w:val="0"/>
          <w:bCs w:val="0"/>
          <w:color w:val="auto"/>
          <w:sz w:val="32"/>
          <w:szCs w:val="32"/>
          <w:highlight w:val="none"/>
          <w:lang w:val="en-US" w:eastAsia="zh-CN"/>
        </w:rPr>
        <w:t>坚持严管厚爱的工作导向，从讲政治的高度落实好干部监督工作，邀请校外专家来校就干部监督的政治性、紧迫性等进行监督政策宣讲辅导。优化因私出国（境）证照办理、出入境审批流程、台账规范管理，落实行前及回国后的教育工作。严格落实</w:t>
      </w:r>
      <w:r>
        <w:rPr>
          <w:rFonts w:hint="eastAsia" w:ascii="仿宋_GB2312" w:hAnsi="仿宋_GB2312" w:eastAsia="仿宋_GB2312" w:cs="仿宋_GB2312"/>
          <w:b w:val="0"/>
          <w:bCs w:val="0"/>
          <w:color w:val="auto"/>
          <w:sz w:val="32"/>
          <w:szCs w:val="32"/>
          <w:highlight w:val="none"/>
        </w:rPr>
        <w:t>日常</w:t>
      </w:r>
      <w:r>
        <w:rPr>
          <w:rFonts w:hint="eastAsia" w:ascii="仿宋_GB2312" w:hAnsi="仿宋_GB2312" w:eastAsia="仿宋_GB2312" w:cs="仿宋_GB2312"/>
          <w:b w:val="0"/>
          <w:bCs w:val="0"/>
          <w:color w:val="auto"/>
          <w:sz w:val="32"/>
          <w:szCs w:val="32"/>
          <w:highlight w:val="none"/>
          <w:lang w:val="en-US" w:eastAsia="zh-CN"/>
        </w:rPr>
        <w:t>请示、请假等</w:t>
      </w:r>
      <w:r>
        <w:rPr>
          <w:rFonts w:hint="eastAsia" w:ascii="仿宋_GB2312" w:hAnsi="仿宋_GB2312" w:eastAsia="仿宋_GB2312" w:cs="仿宋_GB2312"/>
          <w:b w:val="0"/>
          <w:bCs w:val="0"/>
          <w:color w:val="auto"/>
          <w:sz w:val="32"/>
          <w:szCs w:val="32"/>
          <w:highlight w:val="none"/>
        </w:rPr>
        <w:t>管理审批工作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zh-CN"/>
        </w:rPr>
        <w:t>进一步强化干部纪律和规矩意识，</w:t>
      </w:r>
      <w:r>
        <w:rPr>
          <w:rFonts w:hint="eastAsia" w:ascii="仿宋_GB2312" w:hAnsi="仿宋_GB2312" w:eastAsia="仿宋_GB2312" w:cs="仿宋_GB2312"/>
          <w:b w:val="0"/>
          <w:bCs w:val="0"/>
          <w:color w:val="auto"/>
          <w:sz w:val="32"/>
          <w:szCs w:val="32"/>
          <w:highlight w:val="none"/>
          <w:lang w:val="en-US" w:eastAsia="zh-CN"/>
        </w:rPr>
        <w:t>构建干部监督闭环。加强干部监督执纪结果运用，注重在干部选任、评优评先、干部派出学习挂职等工作中听取纪检监察室的意见建议。</w:t>
      </w:r>
      <w:r>
        <w:rPr>
          <w:rFonts w:hint="eastAsia" w:ascii="仿宋_GB2312" w:hAnsi="仿宋_GB2312" w:eastAsia="仿宋_GB2312" w:cs="仿宋_GB2312"/>
          <w:b/>
          <w:bCs/>
          <w:color w:val="auto"/>
          <w:sz w:val="32"/>
          <w:szCs w:val="32"/>
          <w:highlight w:val="none"/>
          <w:lang w:val="en-US" w:eastAsia="zh-CN"/>
        </w:rPr>
        <w:t>三是动真碰硬，推动干部能上能下。</w:t>
      </w:r>
      <w:r>
        <w:rPr>
          <w:rFonts w:hint="eastAsia" w:ascii="仿宋_GB2312" w:hAnsi="仿宋_GB2312" w:eastAsia="仿宋_GB2312" w:cs="仿宋_GB2312"/>
          <w:b w:val="0"/>
          <w:bCs w:val="0"/>
          <w:color w:val="auto"/>
          <w:sz w:val="32"/>
          <w:szCs w:val="32"/>
          <w:highlight w:val="none"/>
          <w:lang w:val="en-US" w:eastAsia="zh-CN"/>
        </w:rPr>
        <w:t>学校党委定期</w:t>
      </w:r>
      <w:r>
        <w:rPr>
          <w:rFonts w:hint="eastAsia" w:ascii="仿宋_GB2312" w:hAnsi="仿宋_GB2312" w:eastAsia="仿宋_GB2312" w:cs="仿宋_GB2312"/>
          <w:b w:val="0"/>
          <w:bCs w:val="0"/>
          <w:color w:val="auto"/>
          <w:sz w:val="32"/>
          <w:szCs w:val="32"/>
          <w:highlight w:val="none"/>
        </w:rPr>
        <w:t>分析研判干部大监督信息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针对发现的问题线索及时调查研判，坚持标本兼治，压实工作责任，对于不适宜担任现职的4名干部及时进行岗位调整，对于违纪违规的2名干部按规定进行处理。</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五、坚持后继有人根本大计，稳步推进年轻干部梯队建设</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b/>
          <w:bCs/>
          <w:color w:val="auto"/>
          <w:sz w:val="32"/>
          <w:szCs w:val="32"/>
          <w:highlight w:val="none"/>
          <w:lang w:val="en-US" w:eastAsia="zh-CN"/>
        </w:rPr>
        <w:t>一是开展新一轮优秀年轻干部推荐。</w:t>
      </w:r>
      <w:r>
        <w:rPr>
          <w:rFonts w:hint="eastAsia" w:ascii="仿宋_GB2312" w:hAnsi="仿宋_GB2312" w:eastAsia="仿宋_GB2312" w:cs="仿宋_GB2312"/>
          <w:b w:val="0"/>
          <w:bCs w:val="0"/>
          <w:color w:val="auto"/>
          <w:sz w:val="32"/>
          <w:szCs w:val="32"/>
          <w:highlight w:val="none"/>
        </w:rPr>
        <w:t>抓好年轻干部培养“根本大计”，坚持把培养选拔优秀年轻干部作为领导班子和干部队伍建设的基础性工程，</w:t>
      </w:r>
      <w:r>
        <w:rPr>
          <w:rFonts w:hint="eastAsia" w:ascii="仿宋_GB2312" w:hAnsi="仿宋_GB2312" w:eastAsia="仿宋_GB2312" w:cs="仿宋_GB2312"/>
          <w:b w:val="0"/>
          <w:bCs w:val="0"/>
          <w:color w:val="auto"/>
          <w:sz w:val="32"/>
          <w:szCs w:val="32"/>
          <w:highlight w:val="none"/>
          <w:lang w:val="en-US" w:eastAsia="zh-CN"/>
        </w:rPr>
        <w:t>着眼于“后继有人”</w:t>
      </w:r>
      <w:r>
        <w:rPr>
          <w:rFonts w:hint="eastAsia" w:ascii="仿宋_GB2312" w:hAnsi="仿宋_GB2312" w:eastAsia="仿宋_GB2312" w:cs="仿宋_GB2312"/>
          <w:b w:val="0"/>
          <w:bCs w:val="0"/>
          <w:color w:val="auto"/>
          <w:sz w:val="32"/>
          <w:szCs w:val="32"/>
          <w:highlight w:val="none"/>
        </w:rPr>
        <w:t>加强科学谋划，</w:t>
      </w:r>
      <w:r>
        <w:rPr>
          <w:rFonts w:hint="eastAsia" w:ascii="仿宋_GB2312" w:hAnsi="仿宋_GB2312" w:eastAsia="仿宋_GB2312" w:cs="仿宋_GB2312"/>
          <w:b w:val="0"/>
          <w:bCs w:val="0"/>
          <w:color w:val="auto"/>
          <w:sz w:val="32"/>
          <w:szCs w:val="32"/>
          <w:highlight w:val="none"/>
          <w:lang w:val="en-US" w:eastAsia="zh-CN"/>
        </w:rPr>
        <w:t>动态充实更新优秀年轻干部库</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二是推动专聘副职政策提质升级。</w:t>
      </w:r>
      <w:r>
        <w:rPr>
          <w:rFonts w:hint="eastAsia" w:ascii="仿宋_GB2312" w:hAnsi="仿宋_GB2312" w:eastAsia="仿宋_GB2312" w:cs="仿宋_GB2312"/>
          <w:b w:val="0"/>
          <w:bCs w:val="0"/>
          <w:color w:val="auto"/>
          <w:sz w:val="32"/>
          <w:szCs w:val="32"/>
          <w:highlight w:val="none"/>
          <w:lang w:val="en-US" w:eastAsia="zh-CN"/>
        </w:rPr>
        <w:t>持续实施</w:t>
      </w:r>
      <w:r>
        <w:rPr>
          <w:rFonts w:hint="eastAsia" w:ascii="仿宋_GB2312" w:hAnsi="仿宋_GB2312" w:eastAsia="仿宋_GB2312" w:cs="仿宋_GB2312"/>
          <w:b w:val="0"/>
          <w:bCs w:val="0"/>
          <w:color w:val="auto"/>
          <w:sz w:val="32"/>
          <w:szCs w:val="32"/>
          <w:highlight w:val="none"/>
        </w:rPr>
        <w:t>年轻干部“双增双强”计划，拓宽干部成长路径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完成首批学术副院长、部门专聘副职期满考核工作，推动学术副院长（部门专聘副职）</w:t>
      </w:r>
      <w:r>
        <w:rPr>
          <w:rFonts w:hint="eastAsia" w:ascii="仿宋_GB2312" w:hAnsi="仿宋_GB2312" w:eastAsia="仿宋_GB2312" w:cs="仿宋_GB2312"/>
          <w:b w:val="0"/>
          <w:bCs w:val="0"/>
          <w:color w:val="auto"/>
          <w:sz w:val="32"/>
          <w:szCs w:val="32"/>
        </w:rPr>
        <w:t>聘任制度</w:t>
      </w:r>
      <w:r>
        <w:rPr>
          <w:rFonts w:hint="eastAsia" w:ascii="仿宋_GB2312" w:hAnsi="仿宋_GB2312" w:eastAsia="仿宋_GB2312" w:cs="仿宋_GB2312"/>
          <w:b w:val="0"/>
          <w:bCs w:val="0"/>
          <w:color w:val="auto"/>
          <w:sz w:val="32"/>
          <w:szCs w:val="32"/>
          <w:lang w:val="en-US" w:eastAsia="zh-CN"/>
        </w:rPr>
        <w:t>落实落细</w:t>
      </w:r>
      <w:r>
        <w:rPr>
          <w:rFonts w:hint="eastAsia" w:ascii="仿宋_GB2312" w:hAnsi="仿宋_GB2312" w:eastAsia="仿宋_GB2312" w:cs="仿宋_GB2312"/>
          <w:b w:val="0"/>
          <w:bCs w:val="0"/>
          <w:color w:val="auto"/>
          <w:sz w:val="32"/>
          <w:szCs w:val="32"/>
          <w:highlight w:val="none"/>
          <w:lang w:val="en-US" w:eastAsia="zh-CN"/>
        </w:rPr>
        <w:t>，不断</w:t>
      </w:r>
      <w:r>
        <w:rPr>
          <w:rFonts w:hint="eastAsia" w:ascii="仿宋_GB2312" w:hAnsi="仿宋_GB2312" w:eastAsia="仿宋_GB2312" w:cs="仿宋_GB2312"/>
          <w:b w:val="0"/>
          <w:bCs w:val="0"/>
          <w:color w:val="auto"/>
          <w:sz w:val="32"/>
          <w:szCs w:val="32"/>
          <w:highlight w:val="none"/>
        </w:rPr>
        <w:t>加大优秀学术型干部使用力度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为优秀年轻干部的成长搭建平台</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三是用好干部挂职锻炼平台。</w:t>
      </w:r>
      <w:r>
        <w:rPr>
          <w:rFonts w:hint="eastAsia" w:ascii="仿宋_GB2312" w:hAnsi="仿宋_GB2312" w:eastAsia="仿宋_GB2312" w:cs="仿宋_GB2312"/>
          <w:b w:val="0"/>
          <w:bCs w:val="0"/>
          <w:color w:val="auto"/>
          <w:sz w:val="32"/>
          <w:szCs w:val="32"/>
          <w:highlight w:val="none"/>
          <w:lang w:val="en-US" w:eastAsia="zh-CN"/>
        </w:rPr>
        <w:t>推动干部培养与社会服务同步提质，本年度共选派28名党员干部到上级部门和地方挂职锻炼，年轻干部强担当、长见识、增本领，学校在服务社会中的人才支撑作用进一步凸显。</w:t>
      </w:r>
      <w:r>
        <w:rPr>
          <w:rFonts w:hint="eastAsia" w:ascii="仿宋_GB2312" w:hAnsi="仿宋_GB2312" w:eastAsia="仿宋_GB2312" w:cs="仿宋_GB2312"/>
          <w:b/>
          <w:bCs/>
          <w:color w:val="auto"/>
          <w:sz w:val="32"/>
          <w:szCs w:val="32"/>
          <w:highlight w:val="none"/>
          <w:lang w:val="en-US" w:eastAsia="zh-CN"/>
        </w:rPr>
        <w:t>四是蹲苗压担，助力年轻干部快速成长。</w:t>
      </w:r>
      <w:r>
        <w:rPr>
          <w:rFonts w:hint="eastAsia" w:ascii="仿宋_GB2312" w:hAnsi="仿宋_GB2312" w:eastAsia="仿宋_GB2312" w:cs="仿宋_GB2312"/>
          <w:b w:val="0"/>
          <w:bCs w:val="0"/>
          <w:color w:val="auto"/>
          <w:sz w:val="32"/>
          <w:szCs w:val="32"/>
          <w:highlight w:val="none"/>
        </w:rPr>
        <w:t>对优秀年轻干部实施“蹲苗”“压担”</w:t>
      </w:r>
      <w:r>
        <w:rPr>
          <w:rFonts w:hint="eastAsia" w:ascii="仿宋_GB2312" w:hAnsi="仿宋_GB2312" w:eastAsia="仿宋_GB2312" w:cs="仿宋_GB2312"/>
          <w:b w:val="0"/>
          <w:bCs w:val="0"/>
          <w:color w:val="auto"/>
          <w:sz w:val="32"/>
          <w:szCs w:val="32"/>
          <w:highlight w:val="none"/>
          <w:lang w:val="en-US" w:eastAsia="zh-CN"/>
        </w:rPr>
        <w:t>锻炼</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将优秀年轻干部在学位</w:t>
      </w:r>
      <w:r>
        <w:rPr>
          <w:rFonts w:hint="eastAsia" w:ascii="仿宋_GB2312" w:hAnsi="仿宋_GB2312" w:eastAsia="仿宋_GB2312" w:cs="仿宋_GB2312"/>
          <w:b w:val="0"/>
          <w:bCs w:val="0"/>
          <w:color w:val="auto"/>
          <w:sz w:val="32"/>
          <w:szCs w:val="32"/>
          <w:highlight w:val="none"/>
          <w:shd w:val="clear" w:color="auto" w:fill="FFFFFF"/>
          <w:lang w:val="en-US" w:eastAsia="zh-CN"/>
        </w:rPr>
        <w:t>点申报</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基础设施提质改造</w:t>
      </w:r>
      <w:r>
        <w:rPr>
          <w:rFonts w:hint="eastAsia" w:ascii="仿宋_GB2312" w:hAnsi="仿宋_GB2312" w:eastAsia="仿宋_GB2312" w:cs="仿宋_GB2312"/>
          <w:b w:val="0"/>
          <w:bCs w:val="0"/>
          <w:color w:val="auto"/>
          <w:sz w:val="32"/>
          <w:szCs w:val="32"/>
          <w:highlight w:val="none"/>
        </w:rPr>
        <w:t>等专项专班</w:t>
      </w:r>
      <w:r>
        <w:rPr>
          <w:rFonts w:hint="eastAsia" w:ascii="仿宋_GB2312" w:hAnsi="仿宋_GB2312" w:eastAsia="仿宋_GB2312" w:cs="仿宋_GB2312"/>
          <w:b w:val="0"/>
          <w:bCs w:val="0"/>
          <w:color w:val="auto"/>
          <w:sz w:val="32"/>
          <w:szCs w:val="32"/>
          <w:highlight w:val="none"/>
          <w:lang w:val="en-US" w:eastAsia="zh-CN"/>
        </w:rPr>
        <w:t>“吃劲”岗位跟踪培养</w:t>
      </w:r>
      <w:r>
        <w:rPr>
          <w:rFonts w:hint="eastAsia" w:ascii="仿宋_GB2312" w:hAnsi="仿宋_GB2312" w:eastAsia="仿宋_GB2312" w:cs="仿宋_GB2312"/>
          <w:b w:val="0"/>
          <w:bCs w:val="0"/>
          <w:color w:val="auto"/>
          <w:sz w:val="32"/>
          <w:szCs w:val="32"/>
          <w:lang w:val="en-US" w:eastAsia="zh-CN"/>
        </w:rPr>
        <w:t>，大胆使用表现优秀、发展潜力大的青年教师，年轻干部储备持续充实。</w:t>
      </w:r>
    </w:p>
    <w:p>
      <w:pPr>
        <w:ind w:left="0" w:leftChars="0" w:firstLine="0" w:firstLineChars="0"/>
        <w:rPr>
          <w:rFonts w:hint="eastAsia" w:ascii="仿宋_GB2312" w:hAnsi="仿宋_GB2312" w:eastAsia="仿宋_GB2312" w:cs="仿宋_GB2312"/>
          <w:b w:val="0"/>
          <w:kern w:val="2"/>
          <w:sz w:val="32"/>
          <w:szCs w:val="32"/>
          <w:lang w:val="en-US" w:eastAsia="zh-CN" w:bidi="ar-SA"/>
        </w:rPr>
      </w:pPr>
    </w:p>
    <w:sectPr>
      <w:pgSz w:w="11906" w:h="16838"/>
      <w:pgMar w:top="1440" w:right="1416" w:bottom="1134" w:left="1560" w:header="96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楷体_GB2312" w:eastAsia="楷体_GB2312"/>
        <w:sz w:val="21"/>
        <w:szCs w:val="21"/>
        <w:lang w:val="en-US" w:eastAsia="zh-CN"/>
      </w:rPr>
    </w:pPr>
    <w:r>
      <w:rPr>
        <w:rFonts w:hint="eastAsia" w:ascii="楷体_GB2312" w:eastAsia="楷体_GB2312"/>
        <w:sz w:val="21"/>
        <w:szCs w:val="21"/>
      </w:rPr>
      <w:t>校第十二届教职工代表大会暨第十四届工会会员代表大会第</w:t>
    </w:r>
    <w:r>
      <w:rPr>
        <w:rFonts w:hint="eastAsia" w:ascii="楷体_GB2312" w:eastAsia="楷体_GB2312"/>
        <w:sz w:val="21"/>
        <w:szCs w:val="21"/>
        <w:lang w:val="en-US" w:eastAsia="zh-CN"/>
      </w:rPr>
      <w:t>三</w:t>
    </w:r>
    <w:r>
      <w:rPr>
        <w:rFonts w:hint="eastAsia" w:ascii="楷体_GB2312" w:eastAsia="楷体_GB2312"/>
        <w:sz w:val="21"/>
        <w:szCs w:val="21"/>
      </w:rPr>
      <w:t>次会议</w:t>
    </w:r>
    <w:r>
      <w:rPr>
        <w:rFonts w:hint="eastAsia" w:ascii="楷体_GB2312" w:eastAsia="楷体_GB2312"/>
        <w:sz w:val="21"/>
        <w:szCs w:val="21"/>
        <w:lang w:val="en-US" w:eastAsia="zh-CN"/>
      </w:rPr>
      <w:t>材料之五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202</w:t>
    </w:r>
    <w:r>
      <w:rPr>
        <w:rFonts w:hint="eastAsia"/>
        <w:lang w:val="en-US" w:eastAsia="zh-CN"/>
      </w:rPr>
      <w:t>4</w:t>
    </w:r>
    <w:r>
      <w:rPr>
        <w:rFonts w:hint="eastAsia"/>
      </w:rPr>
      <w:t>年校务公开报告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A0D"/>
    <w:multiLevelType w:val="multilevel"/>
    <w:tmpl w:val="00480A0D"/>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75"/>
    <w:rsid w:val="000257B4"/>
    <w:rsid w:val="000910F6"/>
    <w:rsid w:val="000D2846"/>
    <w:rsid w:val="002B27D3"/>
    <w:rsid w:val="003F22D6"/>
    <w:rsid w:val="0048284D"/>
    <w:rsid w:val="00490C53"/>
    <w:rsid w:val="00562824"/>
    <w:rsid w:val="005C4249"/>
    <w:rsid w:val="005F04D4"/>
    <w:rsid w:val="00A45847"/>
    <w:rsid w:val="00A55846"/>
    <w:rsid w:val="00C012B3"/>
    <w:rsid w:val="00DB292C"/>
    <w:rsid w:val="00DD3C75"/>
    <w:rsid w:val="00E1066C"/>
    <w:rsid w:val="00F04085"/>
    <w:rsid w:val="00FC5A07"/>
    <w:rsid w:val="0EF37AAD"/>
    <w:rsid w:val="10ED39BA"/>
    <w:rsid w:val="1B870C11"/>
    <w:rsid w:val="2AF572F6"/>
    <w:rsid w:val="30F96754"/>
    <w:rsid w:val="3B67773C"/>
    <w:rsid w:val="4B3610FE"/>
    <w:rsid w:val="52FF2193"/>
    <w:rsid w:val="62B11F44"/>
    <w:rsid w:val="6D5A7B2D"/>
    <w:rsid w:val="73986BB2"/>
    <w:rsid w:val="7AFB36AF"/>
    <w:rsid w:val="7B17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4"/>
    </w:pPr>
    <w:rPr>
      <w:rFonts w:ascii="仿宋" w:hAnsi="仿宋" w:eastAsia="仿宋" w:cs="Times New Roman"/>
      <w:sz w:val="28"/>
      <w:szCs w:val="28"/>
      <w:lang w:val="en-US" w:eastAsia="zh-CN" w:bidi="ar-SA"/>
    </w:rPr>
  </w:style>
  <w:style w:type="paragraph" w:styleId="2">
    <w:name w:val="heading 1"/>
    <w:basedOn w:val="1"/>
    <w:next w:val="1"/>
    <w:link w:val="14"/>
    <w:qFormat/>
    <w:uiPriority w:val="0"/>
    <w:pPr>
      <w:keepNext/>
      <w:keepLines/>
      <w:spacing w:before="340" w:after="330" w:line="440" w:lineRule="exact"/>
      <w:jc w:val="center"/>
      <w:outlineLvl w:val="0"/>
    </w:pPr>
    <w:rPr>
      <w:rFonts w:ascii="Times New Roman" w:hAnsi="Times New Roman" w:eastAsia="方正小标宋简体"/>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4"/>
    <w:qFormat/>
    <w:uiPriority w:val="0"/>
    <w:pPr>
      <w:spacing w:line="560" w:lineRule="exact"/>
      <w:ind w:firstLine="560" w:firstLineChars="200"/>
    </w:pPr>
    <w:rPr>
      <w:rFonts w:ascii="仿宋_GB2312" w:eastAsia="仿宋_GB2312"/>
    </w:rPr>
  </w:style>
  <w:style w:type="paragraph" w:styleId="4">
    <w:name w:val="Body Text First Indent 2"/>
    <w:basedOn w:val="3"/>
    <w:next w:val="1"/>
    <w:qFormat/>
    <w:uiPriority w:val="0"/>
    <w:pPr>
      <w:spacing w:after="120"/>
      <w:ind w:left="420" w:leftChars="200" w:firstLine="200" w:firstLineChars="200"/>
    </w:pPr>
  </w:style>
  <w:style w:type="paragraph" w:styleId="5">
    <w:name w:val="footer"/>
    <w:basedOn w:val="1"/>
    <w:link w:val="16"/>
    <w:semiHidden/>
    <w:unhideWhenUsed/>
    <w:qFormat/>
    <w:uiPriority w:val="99"/>
    <w:pPr>
      <w:tabs>
        <w:tab w:val="center" w:pos="4153"/>
        <w:tab w:val="right" w:pos="8306"/>
      </w:tabs>
      <w:snapToGrid w:val="0"/>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after="100" w:afterAutospacing="1"/>
      <w:ind w:firstLine="640" w:firstLineChars="200"/>
      <w:jc w:val="left"/>
    </w:pPr>
    <w:rPr>
      <w:rFonts w:ascii="宋体" w:hAnsi="宋体" w:cs="宋体"/>
      <w:kern w:val="0"/>
      <w:sz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Emphasis"/>
    <w:basedOn w:val="11"/>
    <w:qFormat/>
    <w:uiPriority w:val="0"/>
    <w:rPr>
      <w:i/>
      <w:iCs/>
    </w:rPr>
  </w:style>
  <w:style w:type="character" w:customStyle="1" w:styleId="13">
    <w:name w:val="标题 1 Char"/>
    <w:basedOn w:val="11"/>
    <w:qFormat/>
    <w:uiPriority w:val="9"/>
    <w:rPr>
      <w:rFonts w:ascii="Calibri" w:hAnsi="Calibri" w:eastAsia="宋体" w:cs="Times New Roman"/>
      <w:b/>
      <w:bCs/>
      <w:kern w:val="44"/>
      <w:sz w:val="44"/>
      <w:szCs w:val="44"/>
    </w:rPr>
  </w:style>
  <w:style w:type="character" w:customStyle="1" w:styleId="14">
    <w:name w:val="标题 1 Char1"/>
    <w:link w:val="2"/>
    <w:qFormat/>
    <w:uiPriority w:val="0"/>
    <w:rPr>
      <w:rFonts w:ascii="Times New Roman" w:hAnsi="Times New Roman" w:eastAsia="方正小标宋简体" w:cs="Times New Roman"/>
      <w:b/>
      <w:bCs/>
      <w:kern w:val="44"/>
      <w:sz w:val="44"/>
      <w:szCs w:val="44"/>
    </w:rPr>
  </w:style>
  <w:style w:type="character" w:customStyle="1" w:styleId="15">
    <w:name w:val="页眉 Char"/>
    <w:basedOn w:val="11"/>
    <w:link w:val="6"/>
    <w:semiHidden/>
    <w:qFormat/>
    <w:uiPriority w:val="99"/>
    <w:rPr>
      <w:rFonts w:ascii="Calibri" w:hAnsi="Calibri" w:eastAsia="宋体" w:cs="Times New Roman"/>
      <w:kern w:val="2"/>
      <w:sz w:val="18"/>
      <w:szCs w:val="18"/>
    </w:rPr>
  </w:style>
  <w:style w:type="character" w:customStyle="1" w:styleId="16">
    <w:name w:val="页脚 Char"/>
    <w:basedOn w:val="11"/>
    <w:link w:val="5"/>
    <w:semiHidden/>
    <w:qFormat/>
    <w:uiPriority w:val="99"/>
    <w:rPr>
      <w:rFonts w:ascii="Calibri" w:hAnsi="Calibri" w:eastAsia="宋体" w:cs="Times New Roman"/>
      <w:kern w:val="2"/>
      <w:sz w:val="18"/>
      <w:szCs w:val="18"/>
    </w:rPr>
  </w:style>
  <w:style w:type="paragraph" w:customStyle="1" w:styleId="17">
    <w:name w:val="标题二"/>
    <w:basedOn w:val="18"/>
    <w:qFormat/>
    <w:uiPriority w:val="0"/>
    <w:pPr>
      <w:spacing w:line="560" w:lineRule="exact"/>
      <w:ind w:firstLine="643" w:firstLineChars="200"/>
      <w:jc w:val="left"/>
    </w:pPr>
    <w:rPr>
      <w:rFonts w:ascii="楷体_GB2312" w:eastAsia="楷体_GB2312"/>
      <w:b/>
      <w:sz w:val="32"/>
      <w:szCs w:val="32"/>
    </w:rPr>
  </w:style>
  <w:style w:type="paragraph" w:customStyle="1" w:styleId="18">
    <w:name w:val="新新标题"/>
    <w:basedOn w:val="1"/>
    <w:link w:val="19"/>
    <w:qFormat/>
    <w:uiPriority w:val="0"/>
    <w:pPr>
      <w:jc w:val="center"/>
    </w:pPr>
    <w:rPr>
      <w:rFonts w:eastAsia="方正小标宋简体" w:asciiTheme="minorHAnsi" w:hAnsiTheme="minorHAnsi" w:cstheme="minorBidi"/>
      <w:sz w:val="36"/>
    </w:rPr>
  </w:style>
  <w:style w:type="character" w:customStyle="1" w:styleId="19">
    <w:name w:val="新新标题 Char"/>
    <w:link w:val="18"/>
    <w:qFormat/>
    <w:uiPriority w:val="0"/>
    <w:rPr>
      <w:rFonts w:eastAsia="方正小标宋简体" w:asciiTheme="minorHAnsi" w:hAnsiTheme="minorHAns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17282</Words>
  <Characters>18140</Characters>
  <Lines>17</Lines>
  <Paragraphs>4</Paragraphs>
  <TotalTime>16</TotalTime>
  <ScaleCrop>false</ScaleCrop>
  <LinksUpToDate>false</LinksUpToDate>
  <CharactersWithSpaces>18164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2025-04-03T16:13:00Z</dcterms:created>
  <dc:creator>曹慧中</dc:creator>
  <cp:lastModifiedBy>杨尚雷</cp:lastModifiedBy>
  <dcterms:modified xsi:type="dcterms:W3CDTF">2025-04-11T08:11:25Z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eyJoZGlkIjoiZDEzNzY2MjA3OGQ2NjgzMjg1OGUyNTEyNDAxMjQyOWYiLCJ1c2VySWQiOiIzMjQ0MDQxMTQifQ==</vt:lpwstr>
  </property>
  <property fmtid="{D5CDD505-2E9C-101B-9397-08002B2CF9AE}" pid="3" name="KSOProductBuildVer">
    <vt:lpwstr>2052-11.8.2.8276</vt:lpwstr>
  </property>
  <property fmtid="{D5CDD505-2E9C-101B-9397-08002B2CF9AE}" pid="4" name="ICV">
    <vt:lpwstr>9B4877AC978441B4B944E68D08927DDE_13</vt:lpwstr>
  </property>
</Properties>
</file>