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浙江工商大学第七届学术委员会2024年工作报告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（校学术委员会秘书处）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宋体" w:eastAsia="仿宋_GB2312"/>
          <w:bCs/>
          <w:color w:val="000000" w:themeColor="text1"/>
          <w:sz w:val="32"/>
          <w:szCs w:val="32"/>
          <w14:textFill>
            <w14:solidFill>
              <w14:schemeClr w14:val="tx1"/>
            </w14:solidFill>
          </w14:textFill>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浙江工商大学学术委员会全面贯彻落实党的二十大精神和习近平新时代中国特色社会主义思想，深入学习贯彻中共中央办公厅、国务院办公厅《关于进一步加强科研诚信建设的若干意见》等文件精神以及浙江省委省政府关于推进高质量教育体系建设的总体部署，严格执行《高等学校学术委员会规程》《浙江工商大学章程》和《浙江工商大学学术委员会章程》。学术委员会紧紧围绕浙江工商大学“一校一策”建设方案和《浙江工商大学使命愿景红皮书（2024版）》的战略目标，聚焦科研诚信建设、学科布局优化、高层次期刊目录修订等重大事项，认真履行审议、评定、咨询等职责，充分发挥学术治理的核心作用，为学校高水平卓越大学建设提供了坚实支撑。</w:t>
      </w:r>
    </w:p>
    <w:p>
      <w:pPr>
        <w:keepNext w:val="0"/>
        <w:keepLines w:val="0"/>
        <w:pageBreakBefore w:val="0"/>
        <w:widowControl w:val="0"/>
        <w:kinsoku/>
        <w:wordWrap/>
        <w:overflowPunct/>
        <w:topLinePunct w:val="0"/>
        <w:autoSpaceDE/>
        <w:autoSpaceDN/>
        <w:bidi w:val="0"/>
        <w:adjustRightInd/>
        <w:snapToGrid/>
        <w:spacing w:line="540" w:lineRule="exact"/>
        <w:ind w:firstLine="200"/>
        <w:textAlignment w:val="auto"/>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hint="eastAsia" w:ascii="黑体" w:hAnsi="黑体" w:eastAsia="黑体"/>
          <w:b/>
          <w:bCs/>
          <w:color w:val="000000" w:themeColor="text1"/>
          <w:sz w:val="32"/>
          <w:szCs w:val="32"/>
          <w14:textFill>
            <w14:solidFill>
              <w14:schemeClr w14:val="tx1"/>
            </w14:solidFill>
          </w14:textFill>
        </w:rPr>
        <w:t>推进科研诚信建设，筑牢学风底线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为全面规范科研诚信管理，学术委员会深入贯彻中共中央办公厅、国务院办公厅《关于进一步加强科研诚信建设的若干意见》和教育部《高等学校预防与处理学术不端行为办法》等政策文件精神，积极推进我校科研诚信体系的完善和实施。2024年5月9日，校学术委员会审议通过了《浙江工商大学科研诚信管理暂行办法（修订）》和《浙江工商大学学术道德委员会工作细则》，进一步明确了科研诚信建设的管理机制和工作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在具体实践中，校学术委员会严格遵守科研诚信原则，对科研失信行为进行调查和审议。通过一系列举措，学校始终坚持科研诚信建设的初心，保持对学术不端行为的“零容忍”态度，努力营造风清气正的科研环境，为学校科研活动的健康发展提供了有力保障。</w:t>
      </w:r>
    </w:p>
    <w:p>
      <w:pPr>
        <w:keepNext w:val="0"/>
        <w:keepLines w:val="0"/>
        <w:pageBreakBefore w:val="0"/>
        <w:widowControl w:val="0"/>
        <w:kinsoku/>
        <w:wordWrap/>
        <w:overflowPunct/>
        <w:topLinePunct w:val="0"/>
        <w:autoSpaceDE/>
        <w:autoSpaceDN/>
        <w:bidi w:val="0"/>
        <w:adjustRightInd/>
        <w:snapToGrid/>
        <w:spacing w:line="540" w:lineRule="exact"/>
        <w:ind w:firstLine="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二、优化学科布局，服务国家和区域发展战略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为进一步优化学科资源配置，服务国家“双一流”建设和浙江省高质量发展战略需求，校学术委员会根据学校学科布局调整的实际需要，积极推动学科专业的优化与调整。校学术委员会审定通过了《审议2024年本科专业设置工作相关事宜》，同意撤销信息与计算科学、资源与环境经济学和海洋技术等3个本科专业，为我校进一步优化学科结构和资源配置，提升学科建设的整体水平提供了助力。</w:t>
      </w:r>
    </w:p>
    <w:p>
      <w:pPr>
        <w:keepNext w:val="0"/>
        <w:keepLines w:val="0"/>
        <w:pageBreakBefore w:val="0"/>
        <w:widowControl w:val="0"/>
        <w:kinsoku/>
        <w:wordWrap/>
        <w:overflowPunct/>
        <w:topLinePunct w:val="0"/>
        <w:autoSpaceDE/>
        <w:autoSpaceDN/>
        <w:bidi w:val="0"/>
        <w:adjustRightInd/>
        <w:snapToGrid/>
        <w:spacing w:line="540" w:lineRule="exact"/>
        <w:ind w:firstLine="200"/>
        <w:textAlignment w:val="auto"/>
        <w:rPr>
          <w:rFonts w:hint="eastAsia" w:ascii="黑体" w:hAnsi="黑体" w:eastAsia="黑体"/>
          <w:color w:val="000000" w:themeColor="text1"/>
          <w:sz w:val="32"/>
          <w:szCs w:val="32"/>
          <w14:textFill>
            <w14:solidFill>
              <w14:schemeClr w14:val="tx1"/>
            </w14:solidFill>
          </w14:textFill>
        </w:rPr>
      </w:pPr>
      <w:bookmarkStart w:id="0" w:name="OLE_LINK1"/>
      <w:r>
        <w:rPr>
          <w:rFonts w:hint="eastAsia" w:ascii="黑体" w:hAnsi="黑体" w:eastAsia="黑体"/>
          <w:color w:val="000000" w:themeColor="text1"/>
          <w:sz w:val="32"/>
          <w:szCs w:val="32"/>
          <w14:textFill>
            <w14:solidFill>
              <w14:schemeClr w14:val="tx1"/>
            </w14:solidFill>
          </w14:textFill>
        </w:rPr>
        <w:t>三、修订高层次期刊目录，推动内涵式科研发展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高层次期刊目录进行修订是推动学校科研事业内涵式发展和高水平大学建设的重要组成部分，对于学校学科建设、科研评价、人才培养和学术诚信等工作具有重要作用。2024年1月，校学术委员会审议通过了《浙江工商大学高层次期刊目录（2024年版）》，此次修订紧密结合学科发展需求和科研评价改革方向，为学校学科建设、科研评价和人才培养提供了重要依据，进一步强化了学术治理的规范性和科学性。</w:t>
      </w:r>
    </w:p>
    <w:p>
      <w:pPr>
        <w:keepNext w:val="0"/>
        <w:keepLines w:val="0"/>
        <w:pageBreakBefore w:val="0"/>
        <w:widowControl w:val="0"/>
        <w:kinsoku/>
        <w:wordWrap/>
        <w:overflowPunct/>
        <w:topLinePunct w:val="0"/>
        <w:autoSpaceDE/>
        <w:autoSpaceDN/>
        <w:bidi w:val="0"/>
        <w:adjustRightInd/>
        <w:snapToGrid/>
        <w:spacing w:line="540" w:lineRule="exact"/>
        <w:ind w:firstLine="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四、审定高层次教学成果奖励，激励人才培养创新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落实立德树人根本任务，进一步激励教学创新和成果转化，2024年1月，校学术委员会听取了研究生院和教务处关于高层次教学成果奖励的相关汇报，并审议通过了研究生与本科教学成果奖励的修改事宜。通过完善奖励机制，学校持续激发教师教学创新活力，助力高质量教育体系建设。</w:t>
      </w:r>
    </w:p>
    <w:p>
      <w:pPr>
        <w:keepNext w:val="0"/>
        <w:keepLines w:val="0"/>
        <w:pageBreakBefore w:val="0"/>
        <w:widowControl w:val="0"/>
        <w:kinsoku/>
        <w:wordWrap/>
        <w:overflowPunct/>
        <w:topLinePunct w:val="0"/>
        <w:autoSpaceDE/>
        <w:autoSpaceDN/>
        <w:bidi w:val="0"/>
        <w:adjustRightInd/>
        <w:snapToGrid/>
        <w:spacing w:line="540" w:lineRule="exact"/>
        <w:ind w:firstLine="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五、规范学术荣誉认定，提升岗位评聘科学性</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进一步规范学校学术荣誉认定标准，确保岗位评聘的科学性和严谨性，2024年7月，校学术委员会依据《浙江工商大学专业技术二级、三级岗位竞聘条件控制标准（试行）》，审议通过了“浙江省高校中青年学科带头人”与“之江青年社科学者”相当的学术荣誉认定标准。进一步规范了学术荣誉认定体系，为学校人才队伍建设提供了坚实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校学术委员会在科研诚信建设、学科布局优化、学术荣誉认定等方面取得了显著成效，为学校高水平卓越大学建设提供了重要支撑。2025年，校学术委员会将继续深入贯彻落实党的教育方针和国家战略部署，紧密围绕浙江省委省政府关于全面推进高质量教育体系建设的要求，不断提升学术治理能力和水平，为学校“双一流”建设和浙江创新发展贡献更大力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备注：</w:t>
      </w:r>
      <w:r>
        <w:rPr>
          <w:rFonts w:ascii="仿宋_GB2312" w:eastAsia="仿宋_GB2312"/>
          <w:color w:val="000000" w:themeColor="text1"/>
          <w:sz w:val="32"/>
          <w:szCs w:val="32"/>
          <w14:textFill>
            <w14:solidFill>
              <w14:schemeClr w14:val="tx1"/>
            </w14:solidFill>
          </w14:textFill>
        </w:rPr>
        <w:t>由于脱密处理，部分信息可能存在简化或省略，但不影响整体信息的准确性和完整性。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350761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zN2M5YzNiYzMyY2QwNDM3OTZlZDRhYjMxY2M0NjEifQ=="/>
  </w:docVars>
  <w:rsids>
    <w:rsidRoot w:val="1DE731CF"/>
    <w:rsid w:val="00144868"/>
    <w:rsid w:val="001D34D1"/>
    <w:rsid w:val="0022038C"/>
    <w:rsid w:val="002419E9"/>
    <w:rsid w:val="002633C4"/>
    <w:rsid w:val="00265A0A"/>
    <w:rsid w:val="002B247F"/>
    <w:rsid w:val="004660E4"/>
    <w:rsid w:val="005B5A94"/>
    <w:rsid w:val="006205C4"/>
    <w:rsid w:val="00625129"/>
    <w:rsid w:val="007E5E39"/>
    <w:rsid w:val="00863CCE"/>
    <w:rsid w:val="00A27616"/>
    <w:rsid w:val="00A83CB1"/>
    <w:rsid w:val="00A919E4"/>
    <w:rsid w:val="00BD1CC2"/>
    <w:rsid w:val="00C469F4"/>
    <w:rsid w:val="00C96789"/>
    <w:rsid w:val="00F22AD0"/>
    <w:rsid w:val="00F268DA"/>
    <w:rsid w:val="00FF0ECC"/>
    <w:rsid w:val="032579A8"/>
    <w:rsid w:val="0E243F15"/>
    <w:rsid w:val="0EF645A0"/>
    <w:rsid w:val="199C1B44"/>
    <w:rsid w:val="19BF56CB"/>
    <w:rsid w:val="1DE731CF"/>
    <w:rsid w:val="1E6F6825"/>
    <w:rsid w:val="211D776A"/>
    <w:rsid w:val="22E631D2"/>
    <w:rsid w:val="23E9602A"/>
    <w:rsid w:val="25E371D4"/>
    <w:rsid w:val="27DC4B50"/>
    <w:rsid w:val="2FE20976"/>
    <w:rsid w:val="367E21A2"/>
    <w:rsid w:val="3C6B187A"/>
    <w:rsid w:val="3E3534E4"/>
    <w:rsid w:val="415F45F4"/>
    <w:rsid w:val="444D7267"/>
    <w:rsid w:val="541023E1"/>
    <w:rsid w:val="56232CA3"/>
    <w:rsid w:val="59282B75"/>
    <w:rsid w:val="5D45588F"/>
    <w:rsid w:val="64ED07CF"/>
    <w:rsid w:val="6A332D6A"/>
    <w:rsid w:val="6EAB2E1E"/>
    <w:rsid w:val="6EF7DAD5"/>
    <w:rsid w:val="773C7ABF"/>
    <w:rsid w:val="7AE72081"/>
    <w:rsid w:val="7D7E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semiHidden/>
    <w:unhideWhenUsed/>
    <w:qFormat/>
    <w:uiPriority w:val="0"/>
    <w:pPr>
      <w:keepNext/>
      <w:keepLines/>
      <w:spacing w:line="360" w:lineRule="auto"/>
      <w:ind w:firstLine="640" w:firstLineChars="200"/>
      <w:outlineLvl w:val="2"/>
    </w:pPr>
    <w:rPr>
      <w:b/>
      <w:sz w:val="24"/>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customStyle="1" w:styleId="9">
    <w:name w:val="页眉 字符"/>
    <w:basedOn w:val="8"/>
    <w:link w:val="4"/>
    <w:qFormat/>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99"/>
    <w:rPr>
      <w:rFonts w:asciiTheme="minorHAnsi" w:hAnsiTheme="minorHAnsi" w:eastAsiaTheme="minorEastAsia" w:cstheme="minorBidi"/>
      <w:kern w:val="2"/>
      <w:sz w:val="18"/>
      <w:szCs w:val="18"/>
    </w:rPr>
  </w:style>
  <w:style w:type="paragraph" w:customStyle="1" w:styleId="11">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240</Words>
  <Characters>1371</Characters>
  <Lines>11</Lines>
  <Paragraphs>3</Paragraphs>
  <TotalTime>5</TotalTime>
  <ScaleCrop>false</ScaleCrop>
  <LinksUpToDate>false</LinksUpToDate>
  <CharactersWithSpaces>1608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2025-03-17T16:11:00Z</dcterms:created>
  <dc:creator>乔</dc:creator>
  <cp:lastModifiedBy>小毕</cp:lastModifiedBy>
  <dcterms:modified xsi:type="dcterms:W3CDTF">2025-03-23T08:35:23Z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84CE5066F39748A3A55E6F80554508AC_13</vt:lpwstr>
  </property>
</Properties>
</file>