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color w:val="auto"/>
          <w:sz w:val="44"/>
          <w:szCs w:val="44"/>
        </w:rPr>
        <w:sectPr>
          <w:footerReference r:id="rId7" w:type="first"/>
          <w:headerReference r:id="rId3" w:type="default"/>
          <w:footerReference r:id="rId5" w:type="default"/>
          <w:headerReference r:id="rId4" w:type="even"/>
          <w:footerReference r:id="rId6" w:type="even"/>
          <w:pgSz w:w="11906" w:h="16838"/>
          <w:pgMar w:top="1560" w:right="1531" w:bottom="1588" w:left="1531" w:header="851" w:footer="992" w:gutter="0"/>
          <w:pgNumType w:start="1"/>
          <w:cols w:space="720" w:num="1"/>
          <w:docGrid w:type="lines" w:linePitch="312" w:charSpace="0"/>
        </w:sectPr>
      </w:pPr>
      <w:r>
        <w:rPr>
          <w:color w:val="auto"/>
          <w:sz w:val="44"/>
        </w:rPr>
        <mc:AlternateContent>
          <mc:Choice Requires="wps">
            <w:drawing>
              <wp:anchor distT="0" distB="0" distL="114300" distR="114300" simplePos="0" relativeHeight="251660288" behindDoc="0" locked="0" layoutInCell="1" allowOverlap="1">
                <wp:simplePos x="0" y="0"/>
                <wp:positionH relativeFrom="column">
                  <wp:posOffset>1593215</wp:posOffset>
                </wp:positionH>
                <wp:positionV relativeFrom="paragraph">
                  <wp:posOffset>7305675</wp:posOffset>
                </wp:positionV>
                <wp:extent cx="2439035" cy="485140"/>
                <wp:effectExtent l="12700" t="5715" r="5715" b="1397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39035" cy="485140"/>
                        </a:xfrm>
                        <a:prstGeom prst="rect">
                          <a:avLst/>
                        </a:prstGeom>
                        <a:solidFill>
                          <a:srgbClr val="FFFFFF"/>
                        </a:solidFill>
                        <a:ln w="9525">
                          <a:solidFill>
                            <a:srgbClr val="FFFFFF"/>
                          </a:solidFill>
                          <a:miter lim="800000"/>
                        </a:ln>
                      </wps:spPr>
                      <wps:txbx>
                        <w:txbxContent>
                          <w:p>
                            <w:pPr>
                              <w:jc w:val="center"/>
                              <w:rPr>
                                <w:rFonts w:ascii="黑体" w:hAnsi="黑体" w:eastAsia="黑体"/>
                                <w:sz w:val="36"/>
                                <w:szCs w:val="36"/>
                              </w:rPr>
                            </w:pPr>
                            <w:r>
                              <w:rPr>
                                <w:rFonts w:hint="eastAsia" w:ascii="黑体" w:hAnsi="黑体" w:eastAsia="黑体"/>
                                <w:sz w:val="36"/>
                                <w:szCs w:val="36"/>
                              </w:rPr>
                              <w:t>二〇二二年</w:t>
                            </w:r>
                            <w:r>
                              <w:rPr>
                                <w:rFonts w:hint="eastAsia" w:ascii="黑体" w:hAnsi="黑体" w:eastAsia="黑体"/>
                                <w:sz w:val="36"/>
                                <w:szCs w:val="36"/>
                                <w:lang w:val="en-US" w:eastAsia="zh-CN"/>
                              </w:rPr>
                              <w:t>九</w:t>
                            </w:r>
                            <w:r>
                              <w:rPr>
                                <w:rFonts w:hint="eastAsia" w:ascii="黑体" w:hAnsi="黑体" w:eastAsia="黑体"/>
                                <w:sz w:val="36"/>
                                <w:szCs w:val="36"/>
                              </w:rPr>
                              <w:t>月</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5.45pt;margin-top:575.25pt;height:38.2pt;width:192.05pt;z-index:251660288;mso-width-relative:page;mso-height-relative:page;" fillcolor="#FFFFFF" filled="t" stroked="t" coordsize="21600,21600" o:gfxdata="UEsDBAoAAAAAAIdO4kAAAAAAAAAAAAAAAAAEAAAAZHJzL1BLAwQUAAAACACHTuJAIL/YGdoAAAAN&#10;AQAADwAAAGRycy9kb3ducmV2LnhtbE2PwU7DMBBE70j8g7VIXFBrxygRTeNUqAJxbuHCzU22SUS8&#10;TmK3afl6lhMcd+ZpdqbYXFwvzjiFzpOBZKlAIFW+7qgx8PH+ungCEaKl2vae0MAVA2zK25vC5rWf&#10;aYfnfWwEh1DIrYE2xiGXMlQtOhuWfkBi7+gnZyOfUyPryc4c7nqplcqksx3xh9YOuG2x+tqfnAE/&#10;v1ydx1Hph89v97Z9HndHPRpzf5eoNYiIl/gHw299rg4ldzr4E9VB9AZ0qlaMspGkKgXBSPaY8rwD&#10;S1pnK5BlIf+vKH8AUEsDBBQAAAAIAIdO4kDm79D8IQIAADkEAAAOAAAAZHJzL2Uyb0RvYy54bWyt&#10;U82O0zAQviPxDpbvNP2FNmq6WroqQlp+pIUHcBwnsbA9xnablAdg34ATF+48V5+DiZMt1XJbkYPl&#10;yYy/mfm+mfVVqxU5COclmIxORmNKhOFQSFNl9POn3YslJT4wUzAFRmT0KDy92jx/tm5sKqZQgyqE&#10;IwhifNrYjNYh2DRJPK+FZn4EVhh0luA0C2i6KikcaxBdq2Q6Hr9MGnCFdcCF9/j3pnfSTcQvS8HD&#10;h7L0IhCVUawtxNPFM+/OZLNmaeWYrSUfymBPqEIzaTDpGeqGBUb2Tv4DpSV34KEMIw46gbKUXMQe&#10;sJvJ+FE3dzWzIvaC5Hh7psn/P1j+/vDREVlkdEaJYRolOv24P/38ffr1ncw6ehrrU4y6sxgX2tfQ&#10;osyxVW9vgX/xxMC2ZqYS185BUwtWYHmT7mVy8bTH8R1I3ryDAvOwfYAI1JZOd9whGwTRUabjWRrR&#10;BsLx53Q+W41nC0o4+ubLxWQetUtY+vDaOh/eCNCku2TUofQRnR1ufeiqYelDSJfMg5LFTioVDVfl&#10;W+XIgeGY7OIXG3gUpgxpMrpaTBc9AU+A0DLgvCupM7ocd9+QR5mBr46inqzQ5u3Afw7FEZlz0M8v&#10;7hteanDfKGlwdjPqv+6ZE5SotwbZX03mSA8J0ZgvXk3RcJee/NLDDEeojAZK+us29Auyt05WNWbq&#10;9TZwjYqVMpLZSdtXNdSN8xk5HnapW4BLO0b93fjN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C/&#10;2BnaAAAADQEAAA8AAAAAAAAAAQAgAAAAIgAAAGRycy9kb3ducmV2LnhtbFBLAQIUABQAAAAIAIdO&#10;4kDm79D8IQIAADkEAAAOAAAAAAAAAAEAIAAAACkBAABkcnMvZTJvRG9jLnhtbFBLBQYAAAAABgAG&#10;AFkBAAC8BQAAAAA=&#10;">
                <v:fill on="t" focussize="0,0"/>
                <v:stroke color="#FFFFFF" miterlimit="8" joinstyle="miter"/>
                <v:imagedata o:title=""/>
                <o:lock v:ext="edit" aspectratio="f"/>
                <v:textbox>
                  <w:txbxContent>
                    <w:p>
                      <w:pPr>
                        <w:jc w:val="center"/>
                        <w:rPr>
                          <w:rFonts w:ascii="黑体" w:hAnsi="黑体" w:eastAsia="黑体"/>
                          <w:sz w:val="36"/>
                          <w:szCs w:val="36"/>
                        </w:rPr>
                      </w:pPr>
                      <w:r>
                        <w:rPr>
                          <w:rFonts w:hint="eastAsia" w:ascii="黑体" w:hAnsi="黑体" w:eastAsia="黑体"/>
                          <w:sz w:val="36"/>
                          <w:szCs w:val="36"/>
                        </w:rPr>
                        <w:t>二〇二二年</w:t>
                      </w:r>
                      <w:r>
                        <w:rPr>
                          <w:rFonts w:hint="eastAsia" w:ascii="黑体" w:hAnsi="黑体" w:eastAsia="黑体"/>
                          <w:sz w:val="36"/>
                          <w:szCs w:val="36"/>
                          <w:lang w:val="en-US" w:eastAsia="zh-CN"/>
                        </w:rPr>
                        <w:t>九</w:t>
                      </w:r>
                      <w:r>
                        <w:rPr>
                          <w:rFonts w:hint="eastAsia" w:ascii="黑体" w:hAnsi="黑体" w:eastAsia="黑体"/>
                          <w:sz w:val="36"/>
                          <w:szCs w:val="36"/>
                        </w:rPr>
                        <w:t>月</w:t>
                      </w:r>
                    </w:p>
                  </w:txbxContent>
                </v:textbox>
              </v:shape>
            </w:pict>
          </mc:Fallback>
        </mc:AlternateContent>
      </w:r>
      <w:r>
        <w:rPr>
          <w:color w:val="auto"/>
        </w:rPr>
        <mc:AlternateContent>
          <mc:Choice Requires="wps">
            <w:drawing>
              <wp:anchor distT="45720" distB="45720" distL="114300" distR="114300" simplePos="0" relativeHeight="251661312" behindDoc="0" locked="0" layoutInCell="1" allowOverlap="1">
                <wp:simplePos x="0" y="0"/>
                <wp:positionH relativeFrom="column">
                  <wp:posOffset>227965</wp:posOffset>
                </wp:positionH>
                <wp:positionV relativeFrom="paragraph">
                  <wp:posOffset>2634615</wp:posOffset>
                </wp:positionV>
                <wp:extent cx="5158740" cy="1874520"/>
                <wp:effectExtent l="0" t="1905" r="3810" b="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158740" cy="1874520"/>
                        </a:xfrm>
                        <a:prstGeom prst="rect">
                          <a:avLst/>
                        </a:prstGeom>
                        <a:solidFill>
                          <a:srgbClr val="FFFFFF"/>
                        </a:solidFill>
                        <a:ln>
                          <a:noFill/>
                        </a:ln>
                      </wps:spPr>
                      <wps:txbx>
                        <w:txbxContent>
                          <w:p>
                            <w:pPr>
                              <w:jc w:val="center"/>
                              <w:rPr>
                                <w:rFonts w:ascii="方正小标宋简体" w:eastAsia="方正小标宋简体"/>
                                <w:spacing w:val="100"/>
                                <w:sz w:val="84"/>
                                <w:szCs w:val="84"/>
                                <w:lang w:val="zh-CN"/>
                              </w:rPr>
                            </w:pPr>
                            <w:r>
                              <w:rPr>
                                <w:rFonts w:hint="eastAsia" w:ascii="方正小标宋简体" w:eastAsia="方正小标宋简体"/>
                                <w:spacing w:val="100"/>
                                <w:sz w:val="84"/>
                                <w:szCs w:val="84"/>
                                <w:lang w:val="zh-CN"/>
                              </w:rPr>
                              <w:t>校务公开报告</w:t>
                            </w:r>
                          </w:p>
                          <w:p>
                            <w:pPr>
                              <w:jc w:val="center"/>
                              <w:rPr>
                                <w:rFonts w:ascii="方正小标宋简体" w:eastAsia="方正小标宋简体"/>
                                <w:spacing w:val="20"/>
                                <w:sz w:val="72"/>
                                <w:szCs w:val="72"/>
                              </w:rPr>
                            </w:pPr>
                            <w:r>
                              <w:rPr>
                                <w:rFonts w:hint="eastAsia" w:ascii="方正小标宋简体" w:eastAsia="方正小标宋简体"/>
                                <w:spacing w:val="20"/>
                                <w:sz w:val="72"/>
                                <w:szCs w:val="72"/>
                                <w:lang w:val="zh-CN"/>
                              </w:rPr>
                              <w:t>（20</w:t>
                            </w:r>
                            <w:r>
                              <w:rPr>
                                <w:rFonts w:ascii="方正小标宋简体" w:eastAsia="方正小标宋简体"/>
                                <w:spacing w:val="20"/>
                                <w:sz w:val="72"/>
                                <w:szCs w:val="72"/>
                                <w:lang w:val="zh-CN"/>
                              </w:rPr>
                              <w:t>2</w:t>
                            </w:r>
                            <w:r>
                              <w:rPr>
                                <w:rFonts w:hint="eastAsia" w:ascii="方正小标宋简体" w:eastAsia="方正小标宋简体"/>
                                <w:spacing w:val="20"/>
                                <w:sz w:val="72"/>
                                <w:szCs w:val="72"/>
                              </w:rPr>
                              <w:t>1</w:t>
                            </w:r>
                            <w:r>
                              <w:rPr>
                                <w:rFonts w:hint="eastAsia" w:ascii="方正小标宋简体" w:eastAsia="方正小标宋简体"/>
                                <w:spacing w:val="20"/>
                                <w:sz w:val="72"/>
                                <w:szCs w:val="72"/>
                                <w:lang w:val="zh-CN"/>
                              </w:rPr>
                              <w:t>年度）</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7.95pt;margin-top:207.45pt;height:147.6pt;width:406.2pt;mso-wrap-distance-bottom:3.6pt;mso-wrap-distance-left:9pt;mso-wrap-distance-right:9pt;mso-wrap-distance-top:3.6pt;z-index:251661312;mso-width-relative:page;mso-height-relative:margin;mso-height-percent:200;" fillcolor="#FFFFFF" filled="t" stroked="f" coordsize="21600,21600" o:gfxdata="UEsDBAoAAAAAAIdO4kAAAAAAAAAAAAAAAAAEAAAAZHJzL1BLAwQUAAAACACHTuJAoOKkK9gAAAAK&#10;AQAADwAAAGRycy9kb3ducmV2LnhtbE2Py07DMBBF90j8gzVI7KhtmkIIcSpExYYFEgUJlm7sxBF+&#10;yXbT8PcMK9jNaI7unNtuF2fJrFOeghfAVwyI9n1Qkx8FvL89XdVAcpFeSRu8FvCtM2y787NWNiqc&#10;/Kue92UkGOJzIwWYUmJDae6NdjKvQtQeb0NIThZc00hVkicMd5ZeM3ZDnZw8fjAy6kej+6/90Qn4&#10;cGZSu/TyOSg7756Hh01cUhTi8oKzeyBFL+UPhl99VIcOnQ7h6FUmVsB6c4ekgIpXOCBQV/UayEHA&#10;LWccaNfS/xW6H1BLAwQUAAAACACHTuJAeaZndg0CAADxAwAADgAAAGRycy9lMm9Eb2MueG1srVPN&#10;jtMwEL4j8Q6W7zRN1bJL1HS1dFWEtPxICw/gOE5ikXjM2G1SHgDegBMX7jxXn4Ox05ZquSF8sMae&#10;mc/zfTNe3gxdy3YKnQaT83Qy5UwZCaU2dc4/ftg8u+bMeWFK0YJROd8rx29WT58se5upGTTQlgoZ&#10;gRiX9Tbnjfc2SxInG9UJNwGrDDkrwE54OmKdlCh6Qu/aZDadPk96wNIiSOUc3d6NTr6K+FWlpH9X&#10;VU551uacavNxx7gXYU9WS5HVKGyj5bEM8Q9VdEIbevQMdSe8YFvUf0F1WiI4qPxEQpdAVWmpIgdi&#10;k04fsXlohFWRC4nj7Fkm9/9g5dvde2S6zPmMMyM6atHh+7fDj1+Hn1/ZLMjTW5dR1IOlOD+8hIHa&#10;HKk6ew/yk2MG1o0wtbpFhL5RoqTy0pCZXKSOOC6AFP0bKOkdsfUQgYYKu6AdqcEIndq0P7dGDZ5J&#10;ulyki+urObkk+VIyF7PYvERkp3SLzr9S0LFg5Byp9xFe7O6dD+WI7BQSXnPQ6nKj2zYesC7WLbKd&#10;oDnZxBUZPAprTQg2ENJGxHATeQZqI0k/FMNRtwLKPTFGGOeO/gkZDeAXznqauZy7z1uBirP2tSHV&#10;XqTzQNHHw3xxRRQZXnqKS48wkqBy7jkbzbUfB3trUdcNvXTq0y0pvdFRg9CSsapj3TRXUZrjHwiD&#10;e3mOUX9+6u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OKkK9gAAAAKAQAADwAAAAAAAAABACAA&#10;AAAiAAAAZHJzL2Rvd25yZXYueG1sUEsBAhQAFAAAAAgAh07iQHmmZ3YNAgAA8QMAAA4AAAAAAAAA&#10;AQAgAAAAJwEAAGRycy9lMm9Eb2MueG1sUEsFBgAAAAAGAAYAWQEAAKYFAAAAAA==&#10;">
                <v:fill on="t" focussize="0,0"/>
                <v:stroke on="f"/>
                <v:imagedata o:title=""/>
                <o:lock v:ext="edit" aspectratio="f"/>
                <v:textbox style="mso-fit-shape-to-text:t;">
                  <w:txbxContent>
                    <w:p>
                      <w:pPr>
                        <w:jc w:val="center"/>
                        <w:rPr>
                          <w:rFonts w:ascii="方正小标宋简体" w:eastAsia="方正小标宋简体"/>
                          <w:spacing w:val="100"/>
                          <w:sz w:val="84"/>
                          <w:szCs w:val="84"/>
                          <w:lang w:val="zh-CN"/>
                        </w:rPr>
                      </w:pPr>
                      <w:r>
                        <w:rPr>
                          <w:rFonts w:hint="eastAsia" w:ascii="方正小标宋简体" w:eastAsia="方正小标宋简体"/>
                          <w:spacing w:val="100"/>
                          <w:sz w:val="84"/>
                          <w:szCs w:val="84"/>
                          <w:lang w:val="zh-CN"/>
                        </w:rPr>
                        <w:t>校务公开报告</w:t>
                      </w:r>
                    </w:p>
                    <w:p>
                      <w:pPr>
                        <w:jc w:val="center"/>
                        <w:rPr>
                          <w:rFonts w:ascii="方正小标宋简体" w:eastAsia="方正小标宋简体"/>
                          <w:spacing w:val="20"/>
                          <w:sz w:val="72"/>
                          <w:szCs w:val="72"/>
                        </w:rPr>
                      </w:pPr>
                      <w:r>
                        <w:rPr>
                          <w:rFonts w:hint="eastAsia" w:ascii="方正小标宋简体" w:eastAsia="方正小标宋简体"/>
                          <w:spacing w:val="20"/>
                          <w:sz w:val="72"/>
                          <w:szCs w:val="72"/>
                          <w:lang w:val="zh-CN"/>
                        </w:rPr>
                        <w:t>（20</w:t>
                      </w:r>
                      <w:r>
                        <w:rPr>
                          <w:rFonts w:ascii="方正小标宋简体" w:eastAsia="方正小标宋简体"/>
                          <w:spacing w:val="20"/>
                          <w:sz w:val="72"/>
                          <w:szCs w:val="72"/>
                          <w:lang w:val="zh-CN"/>
                        </w:rPr>
                        <w:t>2</w:t>
                      </w:r>
                      <w:r>
                        <w:rPr>
                          <w:rFonts w:hint="eastAsia" w:ascii="方正小标宋简体" w:eastAsia="方正小标宋简体"/>
                          <w:spacing w:val="20"/>
                          <w:sz w:val="72"/>
                          <w:szCs w:val="72"/>
                        </w:rPr>
                        <w:t>1</w:t>
                      </w:r>
                      <w:r>
                        <w:rPr>
                          <w:rFonts w:hint="eastAsia" w:ascii="方正小标宋简体" w:eastAsia="方正小标宋简体"/>
                          <w:spacing w:val="20"/>
                          <w:sz w:val="72"/>
                          <w:szCs w:val="72"/>
                          <w:lang w:val="zh-CN"/>
                        </w:rPr>
                        <w:t>年度）</w:t>
                      </w:r>
                    </w:p>
                  </w:txbxContent>
                </v:textbox>
                <w10:wrap type="square"/>
              </v:shape>
            </w:pict>
          </mc:Fallback>
        </mc:AlternateContent>
      </w:r>
      <w:r>
        <w:rPr>
          <w:color w:val="auto"/>
        </w:rPr>
        <w:drawing>
          <wp:inline distT="0" distB="0" distL="0" distR="0">
            <wp:extent cx="4972050" cy="1466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972050" cy="1466850"/>
                    </a:xfrm>
                    <a:prstGeom prst="rect">
                      <a:avLst/>
                    </a:prstGeom>
                    <a:noFill/>
                    <a:ln>
                      <a:noFill/>
                    </a:ln>
                  </pic:spPr>
                </pic:pic>
              </a:graphicData>
            </a:graphic>
          </wp:inline>
        </w:drawing>
      </w:r>
    </w:p>
    <w:p>
      <w:pPr>
        <w:pStyle w:val="35"/>
        <w:tabs>
          <w:tab w:val="right" w:leader="dot" w:pos="8834"/>
        </w:tabs>
        <w:spacing w:line="360" w:lineRule="auto"/>
        <w:ind w:firstLine="880"/>
        <w:jc w:val="center"/>
        <w:rPr>
          <w:color w:val="auto"/>
        </w:rPr>
      </w:pPr>
      <w:r>
        <w:rPr>
          <w:rFonts w:ascii="方正小标宋简体" w:eastAsia="方正小标宋简体"/>
          <w:color w:val="auto"/>
          <w:sz w:val="44"/>
          <w:szCs w:val="44"/>
        </w:rPr>
        <w:t>目</w:t>
      </w:r>
      <w:r>
        <w:rPr>
          <w:rFonts w:hint="eastAsia" w:ascii="方正小标宋简体" w:eastAsia="方正小标宋简体"/>
          <w:color w:val="auto"/>
          <w:sz w:val="44"/>
          <w:szCs w:val="44"/>
        </w:rPr>
        <w:t xml:space="preserve">  </w:t>
      </w:r>
      <w:r>
        <w:rPr>
          <w:rFonts w:ascii="方正小标宋简体" w:eastAsia="方正小标宋简体"/>
          <w:color w:val="auto"/>
          <w:sz w:val="44"/>
          <w:szCs w:val="44"/>
        </w:rPr>
        <w:t>录</w:t>
      </w:r>
      <w:bookmarkStart w:id="0" w:name="_Toc510517457"/>
      <w:r>
        <w:rPr>
          <w:rFonts w:ascii="仿宋_GB2312" w:eastAsia="仿宋_GB2312"/>
          <w:b/>
          <w:bCs/>
          <w:color w:val="auto"/>
          <w:sz w:val="30"/>
          <w:szCs w:val="30"/>
          <w:shd w:val="pct10" w:color="auto" w:fill="FFFFFF"/>
        </w:rPr>
        <w:fldChar w:fldCharType="begin"/>
      </w:r>
      <w:r>
        <w:rPr>
          <w:rFonts w:ascii="仿宋_GB2312" w:eastAsia="仿宋_GB2312"/>
          <w:b/>
          <w:bCs/>
          <w:color w:val="auto"/>
          <w:sz w:val="30"/>
          <w:szCs w:val="30"/>
          <w:shd w:val="pct10" w:color="auto" w:fill="FFFFFF"/>
        </w:rPr>
        <w:instrText xml:space="preserve"> </w:instrText>
      </w:r>
      <w:r>
        <w:rPr>
          <w:rFonts w:hint="eastAsia" w:ascii="仿宋_GB2312" w:eastAsia="仿宋_GB2312"/>
          <w:b/>
          <w:bCs/>
          <w:color w:val="auto"/>
          <w:sz w:val="30"/>
          <w:szCs w:val="30"/>
          <w:shd w:val="pct10" w:color="auto" w:fill="FFFFFF"/>
        </w:rPr>
        <w:instrText xml:space="preserve">TOC \o "1-1" \h \z \u</w:instrText>
      </w:r>
      <w:r>
        <w:rPr>
          <w:rFonts w:ascii="仿宋_GB2312" w:eastAsia="仿宋_GB2312"/>
          <w:b/>
          <w:bCs/>
          <w:color w:val="auto"/>
          <w:sz w:val="30"/>
          <w:szCs w:val="30"/>
          <w:shd w:val="pct10" w:color="auto" w:fill="FFFFFF"/>
        </w:rPr>
        <w:instrText xml:space="preserve"> </w:instrText>
      </w:r>
      <w:r>
        <w:rPr>
          <w:rFonts w:ascii="仿宋_GB2312" w:eastAsia="仿宋_GB2312"/>
          <w:b/>
          <w:bCs/>
          <w:color w:val="auto"/>
          <w:sz w:val="30"/>
          <w:szCs w:val="30"/>
          <w:shd w:val="pct10" w:color="auto" w:fill="FFFFFF"/>
        </w:rPr>
        <w:fldChar w:fldCharType="separate"/>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1.</w:t>
      </w:r>
      <w:r>
        <w:rPr>
          <w:color w:val="auto"/>
        </w:rPr>
        <w:fldChar w:fldCharType="begin"/>
      </w:r>
      <w:r>
        <w:rPr>
          <w:color w:val="auto"/>
        </w:rPr>
        <w:instrText xml:space="preserve"> HYPERLINK \l "_Toc103345058" </w:instrText>
      </w:r>
      <w:r>
        <w:rPr>
          <w:color w:val="auto"/>
        </w:rPr>
        <w:fldChar w:fldCharType="separate"/>
      </w:r>
      <w:r>
        <w:rPr>
          <w:rStyle w:val="17"/>
          <w:rFonts w:hint="eastAsia" w:ascii="仿宋_GB2312" w:eastAsia="仿宋_GB2312"/>
          <w:color w:val="auto"/>
          <w:sz w:val="32"/>
          <w:szCs w:val="32"/>
          <w:u w:val="none"/>
        </w:rPr>
        <w:t>2021年财务管理工作公开报告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_Toc103345058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2.</w:t>
      </w:r>
      <w:r>
        <w:rPr>
          <w:color w:val="auto"/>
        </w:rPr>
        <w:fldChar w:fldCharType="begin"/>
      </w:r>
      <w:r>
        <w:rPr>
          <w:color w:val="auto"/>
        </w:rPr>
        <w:instrText xml:space="preserve"> HYPERLINK \l "_Toc103345059" </w:instrText>
      </w:r>
      <w:r>
        <w:rPr>
          <w:color w:val="auto"/>
        </w:rPr>
        <w:fldChar w:fldCharType="separate"/>
      </w:r>
      <w:r>
        <w:rPr>
          <w:rStyle w:val="17"/>
          <w:rFonts w:hint="eastAsia" w:ascii="仿宋_GB2312" w:eastAsia="仿宋_GB2312"/>
          <w:color w:val="auto"/>
          <w:sz w:val="32"/>
          <w:szCs w:val="32"/>
          <w:u w:val="none"/>
        </w:rPr>
        <w:t>2021年科学研究与社会服务情况公开报告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_Toc103345059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5</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3.</w:t>
      </w:r>
      <w:r>
        <w:rPr>
          <w:color w:val="auto"/>
        </w:rPr>
        <w:fldChar w:fldCharType="begin"/>
      </w:r>
      <w:r>
        <w:rPr>
          <w:color w:val="auto"/>
        </w:rPr>
        <w:instrText xml:space="preserve"> HYPERLINK \l "_Toc103345060" </w:instrText>
      </w:r>
      <w:r>
        <w:rPr>
          <w:color w:val="auto"/>
        </w:rPr>
        <w:fldChar w:fldCharType="separate"/>
      </w:r>
      <w:r>
        <w:rPr>
          <w:rStyle w:val="17"/>
          <w:rFonts w:hint="eastAsia" w:ascii="仿宋_GB2312" w:eastAsia="仿宋_GB2312"/>
          <w:color w:val="auto"/>
          <w:sz w:val="32"/>
          <w:szCs w:val="32"/>
          <w:u w:val="none"/>
        </w:rPr>
        <w:t>2021年本科生、研究生招生与就业工作公开报告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_Toc103345060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14</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4.</w:t>
      </w:r>
      <w:r>
        <w:rPr>
          <w:color w:val="auto"/>
        </w:rPr>
        <w:fldChar w:fldCharType="begin"/>
      </w:r>
      <w:r>
        <w:rPr>
          <w:color w:val="auto"/>
        </w:rPr>
        <w:instrText xml:space="preserve"> HYPERLINK \l "_Toc103345062" </w:instrText>
      </w:r>
      <w:r>
        <w:rPr>
          <w:color w:val="auto"/>
        </w:rPr>
        <w:fldChar w:fldCharType="separate"/>
      </w:r>
      <w:r>
        <w:rPr>
          <w:rStyle w:val="17"/>
          <w:rFonts w:hint="eastAsia" w:ascii="仿宋_GB2312" w:eastAsia="仿宋_GB2312"/>
          <w:color w:val="auto"/>
          <w:sz w:val="32"/>
          <w:szCs w:val="32"/>
          <w:u w:val="none"/>
        </w:rPr>
        <w:t>2021年继续教育学生招生工作情况公开报告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_Toc103345062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23</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5.</w:t>
      </w:r>
      <w:r>
        <w:rPr>
          <w:color w:val="auto"/>
        </w:rPr>
        <w:fldChar w:fldCharType="begin"/>
      </w:r>
      <w:r>
        <w:rPr>
          <w:color w:val="auto"/>
        </w:rPr>
        <w:instrText xml:space="preserve"> HYPERLINK \l "_Toc103345064" </w:instrText>
      </w:r>
      <w:r>
        <w:rPr>
          <w:color w:val="auto"/>
        </w:rPr>
        <w:fldChar w:fldCharType="separate"/>
      </w:r>
      <w:r>
        <w:rPr>
          <w:rStyle w:val="17"/>
          <w:rFonts w:hint="eastAsia" w:ascii="仿宋_GB2312" w:eastAsia="仿宋_GB2312"/>
          <w:color w:val="auto"/>
          <w:sz w:val="32"/>
          <w:szCs w:val="32"/>
          <w:u w:val="none"/>
        </w:rPr>
        <w:t>2021年专业技术职务评审与评优活动工作公开报告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_Toc103345064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25</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6.</w:t>
      </w:r>
      <w:r>
        <w:rPr>
          <w:color w:val="auto"/>
        </w:rPr>
        <w:fldChar w:fldCharType="begin"/>
      </w:r>
      <w:r>
        <w:rPr>
          <w:color w:val="auto"/>
        </w:rPr>
        <w:instrText xml:space="preserve"> HYPERLINK \l "_Toc103345068" </w:instrText>
      </w:r>
      <w:r>
        <w:rPr>
          <w:color w:val="auto"/>
        </w:rPr>
        <w:fldChar w:fldCharType="separate"/>
      </w:r>
      <w:r>
        <w:rPr>
          <w:rStyle w:val="17"/>
          <w:rFonts w:hint="eastAsia" w:ascii="仿宋_GB2312" w:eastAsia="仿宋_GB2312"/>
          <w:color w:val="auto"/>
          <w:sz w:val="32"/>
          <w:szCs w:val="32"/>
          <w:u w:val="none"/>
        </w:rPr>
        <w:t>2021年教学仪器设备和大宗物资采购工作公开报告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_Toc103345068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31</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7.</w:t>
      </w:r>
      <w:r>
        <w:rPr>
          <w:color w:val="auto"/>
        </w:rPr>
        <w:fldChar w:fldCharType="begin"/>
      </w:r>
      <w:r>
        <w:rPr>
          <w:color w:val="auto"/>
        </w:rPr>
        <w:instrText xml:space="preserve"> HYPERLINK \l "_Toc103345070" </w:instrText>
      </w:r>
      <w:r>
        <w:rPr>
          <w:color w:val="auto"/>
        </w:rPr>
        <w:fldChar w:fldCharType="separate"/>
      </w:r>
      <w:r>
        <w:rPr>
          <w:rStyle w:val="17"/>
          <w:rFonts w:hint="eastAsia" w:ascii="仿宋_GB2312" w:eastAsia="仿宋_GB2312"/>
          <w:color w:val="auto"/>
          <w:sz w:val="32"/>
          <w:szCs w:val="32"/>
          <w:u w:val="none"/>
        </w:rPr>
        <w:t>2021年大型工程和小额维修改造工作公开报告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_Toc103345070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35</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8.</w:t>
      </w:r>
      <w:r>
        <w:rPr>
          <w:color w:val="auto"/>
        </w:rPr>
        <w:fldChar w:fldCharType="begin"/>
      </w:r>
      <w:r>
        <w:rPr>
          <w:color w:val="auto"/>
        </w:rPr>
        <w:instrText xml:space="preserve"> HYPERLINK \l "_Toc103345072" </w:instrText>
      </w:r>
      <w:r>
        <w:rPr>
          <w:color w:val="auto"/>
        </w:rPr>
        <w:fldChar w:fldCharType="separate"/>
      </w:r>
      <w:r>
        <w:rPr>
          <w:rStyle w:val="17"/>
          <w:rFonts w:hint="eastAsia" w:ascii="仿宋_GB2312" w:eastAsia="仿宋_GB2312"/>
          <w:color w:val="auto"/>
          <w:sz w:val="32"/>
          <w:szCs w:val="32"/>
          <w:u w:val="none"/>
        </w:rPr>
        <w:t>2021年住房购置与货币化分房、教职工宿舍租用工作公开报告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_Toc103345072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40</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9.</w:t>
      </w:r>
      <w:r>
        <w:rPr>
          <w:color w:val="auto"/>
        </w:rPr>
        <w:fldChar w:fldCharType="begin"/>
      </w:r>
      <w:r>
        <w:rPr>
          <w:color w:val="auto"/>
        </w:rPr>
        <w:instrText xml:space="preserve"> HYPERLINK \l "_Toc103345073" </w:instrText>
      </w:r>
      <w:r>
        <w:rPr>
          <w:color w:val="auto"/>
        </w:rPr>
        <w:fldChar w:fldCharType="separate"/>
      </w:r>
      <w:r>
        <w:rPr>
          <w:rStyle w:val="17"/>
          <w:rFonts w:hint="eastAsia" w:ascii="仿宋_GB2312" w:eastAsia="仿宋_GB2312"/>
          <w:color w:val="auto"/>
          <w:sz w:val="32"/>
          <w:szCs w:val="32"/>
          <w:u w:val="none"/>
        </w:rPr>
        <w:t>2021年出租房工作公开报告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_Toc103345073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42</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lang w:val="en-US" w:eastAsia="zh-CN"/>
        </w:rPr>
        <w:t>10</w:t>
      </w:r>
      <w:r>
        <w:rPr>
          <w:rStyle w:val="17"/>
          <w:rFonts w:hint="eastAsia" w:ascii="仿宋_GB2312" w:eastAsia="仿宋_GB2312"/>
          <w:color w:val="auto"/>
          <w:sz w:val="32"/>
          <w:szCs w:val="32"/>
          <w:u w:val="none"/>
        </w:rPr>
        <w:t>.</w:t>
      </w:r>
      <w:r>
        <w:rPr>
          <w:color w:val="auto"/>
        </w:rPr>
        <w:fldChar w:fldCharType="begin"/>
      </w:r>
      <w:r>
        <w:rPr>
          <w:color w:val="auto"/>
        </w:rPr>
        <w:instrText xml:space="preserve"> HYPERLINK \l "_Toc103345074" </w:instrText>
      </w:r>
      <w:r>
        <w:rPr>
          <w:color w:val="auto"/>
        </w:rPr>
        <w:fldChar w:fldCharType="separate"/>
      </w:r>
      <w:r>
        <w:rPr>
          <w:rStyle w:val="17"/>
          <w:rFonts w:hint="eastAsia" w:ascii="仿宋_GB2312" w:eastAsia="仿宋_GB2312"/>
          <w:color w:val="auto"/>
          <w:sz w:val="32"/>
          <w:szCs w:val="32"/>
          <w:u w:val="none"/>
        </w:rPr>
        <w:t>2021年推进数字高校建设工作公开报告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_Toc103345074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44</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10"/>
        <w:tabs>
          <w:tab w:val="right" w:leader="dot" w:pos="8296"/>
        </w:tabs>
        <w:rPr>
          <w:rFonts w:hint="eastAsia" w:ascii="仿宋_GB2312" w:eastAsia="仿宋_GB2312" w:cstheme="minorBidi"/>
          <w:color w:val="auto"/>
          <w:kern w:val="2"/>
          <w:sz w:val="32"/>
          <w:szCs w:val="32"/>
        </w:rPr>
      </w:pPr>
      <w:r>
        <w:rPr>
          <w:rStyle w:val="17"/>
          <w:rFonts w:hint="eastAsia" w:ascii="仿宋_GB2312" w:eastAsia="仿宋_GB2312"/>
          <w:color w:val="auto"/>
          <w:sz w:val="32"/>
          <w:szCs w:val="32"/>
          <w:u w:val="none"/>
        </w:rPr>
        <w:t>11.</w:t>
      </w:r>
      <w:r>
        <w:rPr>
          <w:color w:val="auto"/>
        </w:rPr>
        <w:fldChar w:fldCharType="begin"/>
      </w:r>
      <w:r>
        <w:rPr>
          <w:color w:val="auto"/>
        </w:rPr>
        <w:instrText xml:space="preserve"> HYPERLINK \l "_Toc103345075" </w:instrText>
      </w:r>
      <w:r>
        <w:rPr>
          <w:color w:val="auto"/>
        </w:rPr>
        <w:fldChar w:fldCharType="separate"/>
      </w:r>
      <w:r>
        <w:rPr>
          <w:rStyle w:val="17"/>
          <w:rFonts w:hint="eastAsia" w:ascii="仿宋_GB2312" w:eastAsia="仿宋_GB2312"/>
          <w:color w:val="auto"/>
          <w:sz w:val="32"/>
          <w:szCs w:val="32"/>
          <w:u w:val="none"/>
        </w:rPr>
        <w:t>2021年选人用人工作公开报告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_Toc103345075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53</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35"/>
        <w:tabs>
          <w:tab w:val="right" w:leader="dot" w:pos="8834"/>
        </w:tabs>
        <w:spacing w:line="360" w:lineRule="auto"/>
        <w:ind w:firstLine="602"/>
        <w:jc w:val="center"/>
        <w:rPr>
          <w:rStyle w:val="28"/>
          <w:b/>
          <w:bCs/>
          <w:color w:val="auto"/>
          <w:sz w:val="44"/>
          <w:szCs w:val="44"/>
        </w:rPr>
      </w:pPr>
      <w:r>
        <w:rPr>
          <w:rFonts w:ascii="仿宋_GB2312" w:eastAsia="仿宋_GB2312"/>
          <w:b/>
          <w:bCs/>
          <w:color w:val="auto"/>
          <w:sz w:val="30"/>
          <w:szCs w:val="30"/>
          <w:shd w:val="pct10" w:color="auto" w:fill="FFFFFF"/>
        </w:rPr>
        <w:fldChar w:fldCharType="end"/>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bookmarkEnd w:id="0"/>
    <w:p>
      <w:pPr>
        <w:rPr>
          <w:color w:val="auto"/>
        </w:rPr>
        <w:sectPr>
          <w:headerReference r:id="rId8" w:type="default"/>
          <w:footerReference r:id="rId10" w:type="default"/>
          <w:headerReference r:id="rId9" w:type="even"/>
          <w:pgSz w:w="11906" w:h="16838"/>
          <w:pgMar w:top="1440" w:right="1800" w:bottom="1440" w:left="1800" w:header="851" w:footer="992" w:gutter="0"/>
          <w:cols w:space="425" w:num="1"/>
          <w:docGrid w:type="lines" w:linePitch="312" w:charSpace="0"/>
        </w:sectPr>
      </w:pPr>
      <w:r>
        <w:rPr>
          <w:color w:val="auto"/>
        </w:rPr>
        <w:br w:type="page"/>
      </w:r>
      <w:bookmarkStart w:id="53" w:name="_GoBack"/>
      <w:bookmarkEnd w:id="53"/>
    </w:p>
    <w:p>
      <w:pPr>
        <w:pStyle w:val="3"/>
        <w:rPr>
          <w:color w:val="auto"/>
        </w:rPr>
      </w:pPr>
      <w:bookmarkStart w:id="1" w:name="_Toc103345058"/>
      <w:r>
        <w:rPr>
          <w:rFonts w:hint="eastAsia"/>
          <w:color w:val="auto"/>
        </w:rPr>
        <w:t>2021年财务管理工作公开报告</w:t>
      </w:r>
      <w:bookmarkEnd w:id="1"/>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黑体" w:hAnsi="黑体" w:eastAsia="黑体" w:cs="黑体"/>
          <w:color w:val="auto"/>
          <w:kern w:val="0"/>
          <w:sz w:val="32"/>
          <w:szCs w:val="32"/>
          <w:lang w:bidi="ar"/>
        </w:rPr>
        <w:t>一、基本情况</w:t>
      </w:r>
      <w:r>
        <w:rPr>
          <w:rFonts w:hint="eastAsia" w:ascii="仿宋_GB2312" w:hAnsi="仿宋_GB2312" w:eastAsia="仿宋_GB2312" w:cs="仿宋_GB2312"/>
          <w:color w:val="auto"/>
          <w:kern w:val="0"/>
          <w:sz w:val="32"/>
          <w:szCs w:val="32"/>
          <w:lang w:bidi="ar"/>
        </w:rPr>
        <w:t xml:space="preserve"> </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根据《中共浙江工商大学委员会 浙江工商大学关于进一步完善和深化校务公开工作的意见》（浙商大党〔2005〕21号）要求，学校在财务管理工作中不断强化财务公开意识、加大信息公开力度、拓宽信息公开渠道，有效提高财务工作的透明度。目前，学校财务信息主要通过学校文件、教代会财务工作报告、年鉴、年报、校志、部门工作总结、会议、校园网、财务网站、微信公众号、财务综合信息平台、财务服务手册等形式或渠道向校内进行公开，主要内容包括学校重大财务决策、年度财务预决算、部门工作计划和工作总结、财务管理制度、部门职责分工、财务业务流程、专项资金使用情况、科研经费使用情况、教育收费标准、政府采购管理等。 </w:t>
      </w:r>
    </w:p>
    <w:p>
      <w:pPr>
        <w:widowControl/>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kern w:val="0"/>
          <w:sz w:val="32"/>
          <w:szCs w:val="32"/>
          <w:lang w:bidi="ar"/>
        </w:rPr>
        <w:t xml:space="preserve">二、工作举措 </w:t>
      </w:r>
    </w:p>
    <w:p>
      <w:pPr>
        <w:widowControl/>
        <w:spacing w:line="560" w:lineRule="exact"/>
        <w:ind w:firstLine="643" w:firstLine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kern w:val="0"/>
          <w:sz w:val="32"/>
          <w:szCs w:val="32"/>
          <w:lang w:bidi="ar"/>
        </w:rPr>
        <w:t xml:space="preserve">1.学校重大财务决策 </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学校在作出重大财务决策前，先由任务牵头部门和计财处广泛开展调查研究，进行可行性论证并与校内相关部门充分沟通，形成建议草案，提交学校会议讨论决定。如有必要，还需报上级有关部门审批。决策结果及时以学校文件、决议单等形式向校内进行公布。 </w:t>
      </w:r>
    </w:p>
    <w:p>
      <w:pPr>
        <w:widowControl/>
        <w:spacing w:line="560" w:lineRule="exact"/>
        <w:ind w:firstLine="643" w:firstLine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kern w:val="0"/>
          <w:sz w:val="32"/>
          <w:szCs w:val="32"/>
          <w:lang w:bidi="ar"/>
        </w:rPr>
        <w:t xml:space="preserve">2.年度财务预决算 </w:t>
      </w:r>
    </w:p>
    <w:p>
      <w:pPr>
        <w:widowControl/>
        <w:spacing w:line="560" w:lineRule="exact"/>
        <w:ind w:firstLine="640" w:firstLineChars="200"/>
        <w:jc w:val="left"/>
        <w:rPr>
          <w:rFonts w:ascii="仿宋_GB2312" w:hAnsi="仿宋_GB2312" w:eastAsia="仿宋_GB2312" w:cs="仿宋_GB2312"/>
          <w:color w:val="auto"/>
          <w:kern w:val="0"/>
          <w:sz w:val="32"/>
          <w:szCs w:val="32"/>
          <w:lang w:bidi="ar"/>
        </w:rPr>
        <w:sectPr>
          <w:pgSz w:w="11906" w:h="16838"/>
          <w:pgMar w:top="1440" w:right="1800" w:bottom="1440" w:left="1800" w:header="851" w:footer="992" w:gutter="0"/>
          <w:pgNumType w:start="1"/>
          <w:cols w:space="425" w:num="1"/>
          <w:docGrid w:type="lines" w:linePitch="312" w:charSpace="0"/>
        </w:sectPr>
      </w:pPr>
      <w:r>
        <w:rPr>
          <w:rFonts w:hint="eastAsia" w:ascii="仿宋_GB2312" w:hAnsi="仿宋_GB2312" w:eastAsia="仿宋_GB2312" w:cs="仿宋_GB2312"/>
          <w:color w:val="auto"/>
          <w:kern w:val="0"/>
          <w:sz w:val="32"/>
          <w:szCs w:val="32"/>
          <w:lang w:bidi="ar"/>
        </w:rPr>
        <w:t>计财处在编制学校预算时，根据省财政预算编制要求，广泛征求校内各学院、部门意见，提出年度预算建议草案，</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经校长办公会审议通过后，再报学校党委会审定，最后报省教育厅、财政厅批准。校内预算分配方案通过校园网以学校文件形式向全校公布。学校年度财务决算情况定期向校长办公会议和党委会进行汇报，并在校教代会上向全体教代会代表报告。向学校领导和上级主管部门报告财务收支和预算执行情况，并按照财政部门关于财务信息公开的规定，在学校信息公开网和计财处网站公开年度财务预算、决算信息。 </w:t>
      </w:r>
    </w:p>
    <w:p>
      <w:pPr>
        <w:widowControl/>
        <w:spacing w:line="560" w:lineRule="exact"/>
        <w:ind w:firstLine="643" w:firstLineChars="200"/>
        <w:jc w:val="left"/>
        <w:rPr>
          <w:rFonts w:ascii="楷体_GB2312" w:hAnsi="楷体_GB2312" w:eastAsia="楷体_GB2312" w:cs="楷体_GB2312"/>
          <w:color w:val="auto"/>
          <w:sz w:val="32"/>
          <w:szCs w:val="32"/>
        </w:rPr>
      </w:pPr>
      <w:r>
        <w:rPr>
          <w:rFonts w:hint="eastAsia" w:ascii="楷体_GB2312" w:hAnsi="楷体_GB2312" w:eastAsia="楷体_GB2312" w:cs="楷体_GB2312"/>
          <w:b/>
          <w:bCs/>
          <w:color w:val="auto"/>
          <w:kern w:val="0"/>
          <w:sz w:val="32"/>
          <w:szCs w:val="32"/>
          <w:lang w:bidi="ar"/>
        </w:rPr>
        <w:t>3.收入支出管理</w:t>
      </w:r>
      <w:r>
        <w:rPr>
          <w:rFonts w:hint="eastAsia" w:ascii="楷体_GB2312" w:hAnsi="楷体_GB2312" w:eastAsia="楷体_GB2312" w:cs="楷体_GB2312"/>
          <w:color w:val="auto"/>
          <w:kern w:val="0"/>
          <w:sz w:val="32"/>
          <w:szCs w:val="32"/>
          <w:lang w:bidi="ar"/>
        </w:rPr>
        <w:t xml:space="preserve"> </w:t>
      </w:r>
    </w:p>
    <w:p>
      <w:pPr>
        <w:widowControl/>
        <w:spacing w:line="560" w:lineRule="exact"/>
        <w:ind w:firstLine="640" w:firstLineChars="200"/>
        <w:jc w:val="left"/>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学校收入来源主要包括财政补助收入、事业收入和其他收入等。支出主要包括事业支出、其他支出等。学校严格执行“收支两条线”管理规定，校内所有收入和支出全部纳入学校财务统一管理和核算，不允许资金账外循环，严禁部门和学院私设“小金库”。学校实行校院两级财务管理体制，学院根据上级和学校相关文件规定制定财务管理制度，要求学院经费预算和决算须经学院党政联席会议讨论通过，定期向院内教职工公开经费使用情况，实行规范理财、民主理财。</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为方便师生及时查询经费使用、薪酬发放、公积金缴交、经费到款、学生缴费等信息，计财处在财务综合信息平台开通经费使用、个人薪酬、经费到款等信息的实时查询功能。根据学校规定，做好学院财务公开工作，为学院系、室主任以上人员开通了网上经费查询功能，被授权人员通过财务综合信息平台和手机 APP 可实时查询学院行政经费、公务接待经费、创收经费、绩效工资经费等各项经费的使用情况，加强对学院二级理财情况的民主监督。通过计财处微信公众号、微信群，加强政策宣传、发布财务动态，提供服务指导，加强与师生的沟通，提高财务信息透明度。 </w:t>
      </w:r>
    </w:p>
    <w:p>
      <w:pPr>
        <w:widowControl/>
        <w:spacing w:line="560" w:lineRule="exact"/>
        <w:ind w:firstLine="643" w:firstLineChars="200"/>
        <w:jc w:val="left"/>
        <w:rPr>
          <w:rFonts w:ascii="仿宋_GB2312" w:hAnsi="仿宋_GB2312" w:eastAsia="仿宋_GB2312" w:cs="仿宋_GB2312"/>
          <w:color w:val="auto"/>
          <w:sz w:val="32"/>
          <w:szCs w:val="32"/>
        </w:rPr>
      </w:pPr>
      <w:r>
        <w:rPr>
          <w:rFonts w:hint="eastAsia" w:ascii="楷体_GB2312" w:hAnsi="楷体_GB2312" w:eastAsia="楷体_GB2312" w:cs="楷体_GB2312"/>
          <w:b/>
          <w:bCs/>
          <w:color w:val="auto"/>
          <w:kern w:val="0"/>
          <w:sz w:val="32"/>
          <w:szCs w:val="32"/>
          <w:lang w:bidi="ar"/>
        </w:rPr>
        <w:t>4.教育收费信息公开</w:t>
      </w:r>
      <w:r>
        <w:rPr>
          <w:rFonts w:hint="eastAsia" w:ascii="仿宋_GB2312" w:hAnsi="仿宋_GB2312" w:eastAsia="仿宋_GB2312" w:cs="仿宋_GB2312"/>
          <w:color w:val="auto"/>
          <w:kern w:val="0"/>
          <w:sz w:val="32"/>
          <w:szCs w:val="32"/>
          <w:lang w:bidi="ar"/>
        </w:rPr>
        <w:t xml:space="preserve"> </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学校认真贯彻教育收费政策，严格执行收费报批备案制度，切实做到依法收费。校内收费项目须先报收费领导小组审核，并根据规定报省发改委审批或备案后实施收费。学校大力实施阳光收费，为确保学生对收费工作的知情权，每年通过招生简章、缴费须知、财务网站、校内收费公示栏等途径全面公开收费项目、依据、标准与投诉电话，接受学生和社会的广泛监督。学生可通过“银校通”收费平台及时查询收费标准和缴费情况。由于我校一直以来大力实施“阳光收费”政策，规范管理，依法收费，成效显著，得到上级主管部门的充分肯定。 </w:t>
      </w:r>
    </w:p>
    <w:p>
      <w:pPr>
        <w:widowControl/>
        <w:spacing w:line="560" w:lineRule="exact"/>
        <w:ind w:firstLine="643" w:firstLineChars="200"/>
        <w:jc w:val="left"/>
        <w:rPr>
          <w:rFonts w:ascii="楷体_GB2312" w:hAnsi="楷体_GB2312" w:eastAsia="楷体_GB2312" w:cs="楷体_GB2312"/>
          <w:b/>
          <w:bCs/>
          <w:color w:val="auto"/>
          <w:kern w:val="0"/>
          <w:sz w:val="32"/>
          <w:szCs w:val="32"/>
          <w:lang w:bidi="ar"/>
        </w:rPr>
      </w:pPr>
      <w:r>
        <w:rPr>
          <w:rFonts w:hint="eastAsia" w:ascii="楷体_GB2312" w:hAnsi="楷体_GB2312" w:eastAsia="楷体_GB2312" w:cs="楷体_GB2312"/>
          <w:b/>
          <w:bCs/>
          <w:color w:val="auto"/>
          <w:kern w:val="0"/>
          <w:sz w:val="32"/>
          <w:szCs w:val="32"/>
          <w:lang w:bidi="ar"/>
        </w:rPr>
        <w:t xml:space="preserve">5.政府采购信息公开 </w:t>
      </w:r>
    </w:p>
    <w:p>
      <w:pPr>
        <w:widowControl/>
        <w:spacing w:line="560" w:lineRule="exact"/>
        <w:ind w:firstLine="640" w:firstLineChars="200"/>
        <w:jc w:val="left"/>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为进一步规范采购管理工作，理顺工作机制，提高工作效率，更好地服务教学、科研等工作，学校在《采购管理办法》《部门自行采购实施细则》《电子卖场采购管理细则》《采购定点单位使用管理实施细则》《维修改造工程采购实施细则》等规范基础上，形成了较为完善的采购管理制度体系，为采购管理工作规范、高效开展建立了有效的长效机制。</w:t>
      </w:r>
    </w:p>
    <w:p>
      <w:pPr>
        <w:widowControl/>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bidi="ar"/>
        </w:rPr>
        <w:t xml:space="preserve">2021年，全校申报政府采购预算执行建议书1757份，涉及金额2.55亿元，其中：设备类1132项，采购预算金额5823.83万元；家具类224项，采购预算金额487.89万元；软件类36项，采购预算金额621.51万元；图书资料及教材类15项，采购预算金额579.23万元；全校会议培训类26 项，采购预算金额197.97万元；招生宣传、出版、保险等服务类项目248项，采购预算金额13150.92万元；工程类41项，采购预算金额4400.43万元；其他零星采购项目35项，采购预算金额251.49万元。 </w:t>
      </w:r>
    </w:p>
    <w:p>
      <w:pPr>
        <w:spacing w:line="560" w:lineRule="exact"/>
        <w:ind w:firstLine="640" w:firstLineChars="200"/>
        <w:rPr>
          <w:rFonts w:ascii="仿宋_GB2312" w:hAnsi="仿宋_GB2312" w:eastAsia="仿宋_GB2312" w:cs="仿宋_GB2312"/>
          <w:color w:val="auto"/>
          <w:sz w:val="32"/>
          <w:szCs w:val="32"/>
        </w:rPr>
      </w:pPr>
    </w:p>
    <w:p>
      <w:pPr>
        <w:rPr>
          <w:color w:val="auto"/>
        </w:rPr>
      </w:pPr>
      <w:r>
        <w:rPr>
          <w:color w:val="auto"/>
        </w:rPr>
        <w:br w:type="page"/>
      </w:r>
    </w:p>
    <w:p>
      <w:pPr>
        <w:pStyle w:val="3"/>
        <w:rPr>
          <w:color w:val="auto"/>
        </w:rPr>
      </w:pPr>
      <w:bookmarkStart w:id="2" w:name="_Toc103345059"/>
      <w:r>
        <w:rPr>
          <w:rFonts w:hint="eastAsia"/>
          <w:color w:val="auto"/>
        </w:rPr>
        <w:t>2021年科学研究与社会服务情况公开报告</w:t>
      </w:r>
      <w:bookmarkEnd w:id="2"/>
    </w:p>
    <w:p>
      <w:pPr>
        <w:spacing w:line="560" w:lineRule="exact"/>
        <w:ind w:firstLine="640" w:firstLineChars="200"/>
        <w:jc w:val="left"/>
        <w:rPr>
          <w:rFonts w:ascii="黑体" w:hAnsi="黑体" w:eastAsia="黑体" w:cs="黑体"/>
          <w:color w:val="auto"/>
          <w:sz w:val="32"/>
          <w:szCs w:val="32"/>
          <w:shd w:val="clear" w:color="auto" w:fill="FFFFFF"/>
        </w:rPr>
      </w:pPr>
      <w:r>
        <w:rPr>
          <w:rFonts w:hint="eastAsia" w:ascii="黑体" w:hAnsi="黑体" w:eastAsia="黑体" w:cs="黑体"/>
          <w:color w:val="auto"/>
          <w:sz w:val="32"/>
          <w:szCs w:val="32"/>
        </w:rPr>
        <w:t>一、基本情况</w:t>
      </w:r>
    </w:p>
    <w:p>
      <w:pPr>
        <w:spacing w:line="560" w:lineRule="exact"/>
        <w:ind w:left="420" w:leftChars="200"/>
        <w:jc w:val="left"/>
        <w:rPr>
          <w:rFonts w:ascii="楷体_GB2312" w:hAnsi="楷体_GB2312" w:eastAsia="楷体_GB2312" w:cs="楷体_GB2312"/>
          <w:b/>
          <w:bCs/>
          <w:color w:val="auto"/>
          <w:sz w:val="32"/>
          <w:szCs w:val="32"/>
          <w:shd w:val="clear" w:color="auto" w:fill="FFFFFF"/>
        </w:rPr>
      </w:pPr>
      <w:r>
        <w:rPr>
          <w:rFonts w:hint="eastAsia" w:ascii="楷体_GB2312" w:hAnsi="楷体_GB2312" w:eastAsia="楷体_GB2312" w:cs="楷体_GB2312"/>
          <w:b/>
          <w:bCs/>
          <w:color w:val="auto"/>
          <w:sz w:val="32"/>
          <w:szCs w:val="32"/>
        </w:rPr>
        <w:t>（一）科研项目成果再攀新高峰</w:t>
      </w:r>
    </w:p>
    <w:p>
      <w:pPr>
        <w:spacing w:line="560" w:lineRule="exact"/>
        <w:ind w:firstLine="640" w:firstLineChars="200"/>
        <w:jc w:val="left"/>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2021年，学校共获准人文社科类省部级以上科研项目180项，其中国家级科研项目68项。获准国家社科基金52项（含重大项目4项，重点项目4项），其中年度项目、青年项目立项数跃居全国16位，连续四年位居浙江省属高校第一。获准教育部重大课题攻关项目1项。共发表人文社科类学术论文920篇，其中CCSCI论文292篇，在特级期刊上发表学术论文10篇，在一级期刊上发表学术论文135篇，被SCI/SSCI/EI/ESI/A&amp;HCI和特级期刊、人大复印资料等收录、转载的学术论文330篇，出版著作70部。</w:t>
      </w:r>
    </w:p>
    <w:p>
      <w:pPr>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2021年，学校共获准国家自然科学基金39项，其中面上项目15项，青年基金项目20项，联合基金重点项目1项，优秀青年基金1项，国际（地区）合作与交流项目2项。首次获准优秀青年基金项目，实现我校在国家“优青项目”上的零突破。获准省部级项目57项，其中省自然科学基金重大项目1项，省杰出青年基金项目1项，重点项目10项。</w:t>
      </w:r>
    </w:p>
    <w:p>
      <w:pPr>
        <w:spacing w:line="560" w:lineRule="exact"/>
        <w:ind w:firstLine="640" w:firstLineChars="200"/>
        <w:jc w:val="left"/>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2021年，学校优秀科研成果产出良好，获浙江省哲学社会科学优秀成果奖19项（含2项合作），其中一等奖4项（含1项合作）；获浙江省科学技术奖三等奖1项（学科交叉）。</w:t>
      </w:r>
    </w:p>
    <w:p>
      <w:pPr>
        <w:spacing w:line="560" w:lineRule="exact"/>
        <w:ind w:left="420" w:left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（二）科研平台建设取得新突破</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2021年，学校获批浙江省习近平新时代中国特色社会主义思想研究中心首批研究基地。浙江省高等教育评价研究院被列为浙江省新型高校智库。获批13个浙江省软科学研究基地。</w:t>
      </w:r>
    </w:p>
    <w:p>
      <w:pPr>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2021年，学校新增1个</w:t>
      </w:r>
      <w:r>
        <w:rPr>
          <w:rFonts w:hint="eastAsia" w:ascii="仿宋_GB2312" w:hAnsi="仿宋_GB2312" w:eastAsia="仿宋_GB2312" w:cs="仿宋_GB2312"/>
          <w:bCs/>
          <w:color w:val="auto"/>
          <w:sz w:val="32"/>
          <w:szCs w:val="32"/>
        </w:rPr>
        <w:t>高等学校学科创新引智基地（“111计划”引智基地，国家级国际合作平台）</w:t>
      </w:r>
      <w:r>
        <w:rPr>
          <w:rFonts w:hint="eastAsia" w:ascii="仿宋_GB2312" w:hAnsi="仿宋_GB2312" w:eastAsia="仿宋_GB2312" w:cs="仿宋_GB2312"/>
          <w:color w:val="auto"/>
          <w:sz w:val="32"/>
          <w:szCs w:val="32"/>
        </w:rPr>
        <w:t>，新增2个省级国际科技合作载体（废物低碳循环与绿色发展国际科技合作基地、浙江-英国认知计算与机器人联合实验室），为加强我校与世界高水平大学及科研团队的交流与合作奠定了基础。</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学校科研平台“食品营养与功能性食品国际科技合作基地”在2021省级国际科技合作载体绩效评价结果为“优秀”；“有色金属废弃物资源化浙江省工程研究中心”、“功能食品制造浙江省工程研究中心”在2018－2020省工程研究中心建设及运行情况评估中评价结果为“优秀”。</w:t>
      </w:r>
    </w:p>
    <w:p>
      <w:pPr>
        <w:numPr>
          <w:ilvl w:val="255"/>
          <w:numId w:val="0"/>
        </w:numPr>
        <w:spacing w:line="560" w:lineRule="exact"/>
        <w:ind w:firstLine="643" w:firstLineChars="200"/>
        <w:jc w:val="left"/>
        <w:rPr>
          <w:rFonts w:ascii="楷体_GB2312" w:hAnsi="楷体_GB2312" w:eastAsia="楷体_GB2312" w:cs="楷体_GB2312"/>
          <w:b/>
          <w:bCs/>
          <w:color w:val="auto"/>
          <w:kern w:val="0"/>
          <w:sz w:val="32"/>
          <w:szCs w:val="32"/>
          <w:lang w:bidi="ar"/>
        </w:rPr>
      </w:pPr>
      <w:r>
        <w:rPr>
          <w:rFonts w:hint="eastAsia" w:ascii="楷体_GB2312" w:hAnsi="楷体_GB2312" w:eastAsia="楷体_GB2312" w:cs="楷体_GB2312"/>
          <w:b/>
          <w:bCs/>
          <w:color w:val="auto"/>
          <w:kern w:val="0"/>
          <w:sz w:val="32"/>
          <w:szCs w:val="32"/>
          <w:lang w:bidi="ar"/>
        </w:rPr>
        <w:t>（三）学术氛围更加活跃浓郁</w:t>
      </w:r>
    </w:p>
    <w:p>
      <w:pPr>
        <w:numPr>
          <w:ilvl w:val="255"/>
          <w:numId w:val="0"/>
        </w:num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一是开展有组织科研，培育</w:t>
      </w:r>
      <w:r>
        <w:rPr>
          <w:rFonts w:hint="eastAsia" w:ascii="仿宋_GB2312" w:hAnsi="仿宋_GB2312" w:eastAsia="仿宋_GB2312" w:cs="仿宋_GB2312"/>
          <w:color w:val="auto"/>
          <w:kern w:val="0"/>
          <w:sz w:val="32"/>
          <w:szCs w:val="32"/>
        </w:rPr>
        <w:t>高层次、标志性成果，积极为</w:t>
      </w:r>
      <w:r>
        <w:rPr>
          <w:rFonts w:hint="eastAsia" w:ascii="仿宋_GB2312" w:hAnsi="仿宋_GB2312" w:eastAsia="仿宋_GB2312" w:cs="仿宋_GB2312"/>
          <w:color w:val="auto"/>
          <w:sz w:val="32"/>
          <w:szCs w:val="32"/>
        </w:rPr>
        <w:t>重大项目、创新团队、优秀科研成果的培育、孵化、推广等提供一体化科研服务。2021年，学校“青锐计划”累计资助青年教师20人，资助金额20万元；“新锐计划”项目资助青年教师8人，资助金额48万元；“精锐计划”项目资助青年教师5人，资助金额45万元。设立“国家一般培育项目”84项，资助金额42万元。设立“国家一般培育项目”84项，资助金额42万元。设立“高层次科研成果奖培育”28项，资助金额11.2万元。</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以高品质学术活动为载体，拓展学术视野，促进学术交流，营造浓厚的学术氛围，进一步激发广大教师的科研创新活力。举办高质量学术论坛50余场,学术讲座300余场，重点支持学院、智库和科研机构邀请相关领域的国内外著名学者、重要政府部门学者领导来校内举办各类学术讲座。开设百家百科讲坛、商大智库沙龙、青年学术沙龙等，形成了较大的学术影响力。</w:t>
      </w:r>
    </w:p>
    <w:p>
      <w:pPr>
        <w:spacing w:line="560" w:lineRule="exact"/>
        <w:ind w:firstLine="643" w:firstLineChars="200"/>
        <w:jc w:val="left"/>
        <w:rPr>
          <w:rFonts w:ascii="楷体_GB2312" w:hAnsi="楷体_GB2312" w:eastAsia="楷体_GB2312" w:cs="楷体_GB2312"/>
          <w:b/>
          <w:bCs/>
          <w:color w:val="auto"/>
          <w:kern w:val="0"/>
          <w:sz w:val="32"/>
          <w:szCs w:val="32"/>
          <w:lang w:bidi="ar"/>
        </w:rPr>
      </w:pPr>
      <w:r>
        <w:rPr>
          <w:rFonts w:hint="eastAsia" w:ascii="楷体_GB2312" w:hAnsi="楷体_GB2312" w:eastAsia="楷体_GB2312" w:cs="楷体_GB2312"/>
          <w:b/>
          <w:bCs/>
          <w:color w:val="auto"/>
          <w:sz w:val="32"/>
          <w:szCs w:val="32"/>
        </w:rPr>
        <w:t>（四）</w:t>
      </w:r>
      <w:r>
        <w:rPr>
          <w:rFonts w:hint="eastAsia" w:ascii="楷体_GB2312" w:hAnsi="楷体_GB2312" w:eastAsia="楷体_GB2312" w:cs="楷体_GB2312"/>
          <w:b/>
          <w:bCs/>
          <w:color w:val="auto"/>
          <w:kern w:val="0"/>
          <w:sz w:val="32"/>
          <w:szCs w:val="32"/>
          <w:lang w:bidi="ar"/>
        </w:rPr>
        <w:t>高质量社会服务取得新增长</w:t>
      </w:r>
    </w:p>
    <w:p>
      <w:pPr>
        <w:spacing w:line="560" w:lineRule="exact"/>
        <w:ind w:firstLine="640" w:firstLineChars="200"/>
        <w:jc w:val="left"/>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2021年，学校服务重大战略决策的能力水平继续提升。服务共同富裕示范区建设，获校友资助，筹建全国首家慈善学院；</w:t>
      </w:r>
      <w:r>
        <w:rPr>
          <w:rFonts w:hint="eastAsia" w:ascii="仿宋_GB2312" w:hAnsi="仿宋_GB2312" w:eastAsia="仿宋_GB2312" w:cs="仿宋_GB2312"/>
          <w:color w:val="auto"/>
          <w:sz w:val="32"/>
          <w:szCs w:val="32"/>
        </w:rPr>
        <w:t>开展新疆干部专业化能力培训项目</w:t>
      </w:r>
      <w:r>
        <w:rPr>
          <w:rFonts w:hint="eastAsia" w:ascii="仿宋_GB2312" w:hAnsi="仿宋_GB2312" w:eastAsia="仿宋_GB2312" w:cs="仿宋_GB2312"/>
          <w:color w:val="auto"/>
          <w:kern w:val="0"/>
          <w:sz w:val="32"/>
          <w:szCs w:val="32"/>
          <w:lang w:bidi="ar"/>
        </w:rPr>
        <w:t>。获武器装备科研生产单位二级保密资格并实质性开展军工项目研发，研究部署了“各类军工科研项目的分类标准和认定”事宜，对教师开展军工项目研究给予特殊的激励政策。跻身浙江省“三农九方”新阵列，获省“三农九方”农业科技协作计划“揭榜挂帅”项目4项（其中1项主持，3项合作）。</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2021年，学校智库服务显著增强，</w:t>
      </w:r>
      <w:r>
        <w:rPr>
          <w:rFonts w:hint="eastAsia" w:ascii="仿宋_GB2312" w:hAnsi="仿宋_GB2312" w:eastAsia="仿宋_GB2312" w:cs="仿宋_GB2312"/>
          <w:color w:val="auto"/>
          <w:sz w:val="32"/>
          <w:szCs w:val="32"/>
        </w:rPr>
        <w:t>全力助推浙江数字化改革新征程，为浙江省推动高质量发展建设共同富裕示范区献计献策：一是积极开展“共同富裕”专题研究,10余份研究报告获省委省政府主要领导肯定性批示。二是积极响应《社科赋能山区26县跨越式高质量发展行动的倡议》,落实“五个坚持”倡议，组织各学院、科研团队深入服务山区26县，为山区26县跨越式高质量发展赋能助力。三是成立“浙江工商大学中华诗教研究院”“新时代文化浙江建设研究智库联盟”“浙江工商大学中国阿联酋商贸文化研究中心”“新时代文化浙江建设研究智库联盟”“浙江工商大学商业伦理研究所”，为服务文化产业高质量发展，服务我国“一带一路”战略和中阿关系的发展，树立商业伦理话语权，提质增效，建策献言。四是浙商研究院发布了浙江省域政商“亲清指数”，优化营商环境、推动经济发展、服务企业方面，在打造亲清政商关系方面所取得的进步。</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2021年，我校推进“政产学研用”协同创新，新签订横向项目100余项，到款金额近3000万元，其中新签订重大社会服务项目9项，重要社会服务项目14项。</w:t>
      </w:r>
      <w:r>
        <w:rPr>
          <w:rFonts w:hint="eastAsia" w:ascii="仿宋_GB2312" w:hAnsi="仿宋_GB2312" w:eastAsia="仿宋_GB2312" w:cs="仿宋_GB2312"/>
          <w:bCs/>
          <w:color w:val="auto"/>
          <w:sz w:val="32"/>
          <w:szCs w:val="32"/>
        </w:rPr>
        <w:t>我校与台州市椒江区政府成立浙江工商大学东海食品台州研究院，五年合计投入固定支持经费3500万元 。东海食品台州研究院以我校食品学院为依托，由中国工程院朱蓓薇院士担任学术院长，学校派出专职科研人员、管理人员以及硕士博士研究生，开展相关技术研究工作，旨在借助朱蓓薇院士团队的学术力量，基于台州食品产业特色，立足椒江、辐射东海，开展农产品、水产品等食品加工领域的共性技术难题攻关、产品创新开发和产业化应用等研究。此外，我校还与杭州高新区（滨江）科学技术局、金华市科技局、泰顺县科学技术局、丽水经济技术开发区管委会、杭州钱塘区大创小镇发展服务中心等地方政府建有多个产学研平台。其中，浙江高校产学研余杭联盟东部中心、滨江区联盟中心获得年度考核优秀，地方服务工作得到了余杭区、滨江区人民政府的支持与肯定。</w:t>
      </w:r>
    </w:p>
    <w:p>
      <w:pPr>
        <w:numPr>
          <w:ilvl w:val="0"/>
          <w:numId w:val="1"/>
        </w:num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工作举措</w:t>
      </w:r>
    </w:p>
    <w:p>
      <w:pPr>
        <w:spacing w:line="560" w:lineRule="exact"/>
        <w:ind w:firstLine="643" w:firstLineChars="200"/>
        <w:jc w:val="left"/>
        <w:rPr>
          <w:rFonts w:ascii="楷体_GB2312" w:hAnsi="楷体_GB2312" w:eastAsia="楷体_GB2312" w:cs="楷体_GB2312"/>
          <w:color w:val="auto"/>
          <w:kern w:val="0"/>
          <w:sz w:val="32"/>
          <w:szCs w:val="32"/>
        </w:rPr>
      </w:pPr>
      <w:r>
        <w:rPr>
          <w:rFonts w:hint="eastAsia" w:ascii="楷体_GB2312" w:hAnsi="楷体_GB2312" w:eastAsia="楷体_GB2312" w:cs="楷体_GB2312"/>
          <w:b/>
          <w:bCs/>
          <w:color w:val="auto"/>
          <w:sz w:val="32"/>
          <w:szCs w:val="32"/>
        </w:rPr>
        <w:t>（一）做好项目管理，夯实发展基础。</w:t>
      </w:r>
    </w:p>
    <w:p>
      <w:pPr>
        <w:spacing w:line="560" w:lineRule="exact"/>
        <w:ind w:firstLine="640" w:firstLineChars="200"/>
        <w:jc w:val="left"/>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sz w:val="32"/>
          <w:szCs w:val="32"/>
        </w:rPr>
        <w:t>1.瞄准高层次标志性重大成果。胸怀“国之大者”，围绕国家地方</w:t>
      </w:r>
      <w:r>
        <w:rPr>
          <w:rFonts w:hint="eastAsia" w:ascii="仿宋_GB2312" w:hAnsi="仿宋_GB2312" w:eastAsia="仿宋_GB2312" w:cs="仿宋_GB2312"/>
          <w:bCs/>
          <w:color w:val="auto"/>
          <w:kern w:val="0"/>
          <w:sz w:val="32"/>
          <w:szCs w:val="32"/>
        </w:rPr>
        <w:t>发展的重大战略，兼顾学术创新和现实需要，充分发挥我校统计、工商管理、应用经济、法学、公共管理、马克思等学科力量，以“聚集大团队、构建大平台、承担大任务、催生大成果”方式，全面提升科研攻关能力，</w:t>
      </w:r>
      <w:r>
        <w:rPr>
          <w:rFonts w:hint="eastAsia" w:ascii="仿宋_GB2312" w:hAnsi="仿宋_GB2312" w:eastAsia="仿宋_GB2312" w:cs="仿宋_GB2312"/>
          <w:bCs/>
          <w:color w:val="auto"/>
          <w:sz w:val="32"/>
          <w:szCs w:val="32"/>
        </w:rPr>
        <w:t>开展重大项目预研，培育并产出一批</w:t>
      </w:r>
      <w:r>
        <w:rPr>
          <w:rFonts w:hint="eastAsia" w:ascii="仿宋_GB2312" w:hAnsi="仿宋_GB2312" w:eastAsia="仿宋_GB2312" w:cs="仿宋_GB2312"/>
          <w:bCs/>
          <w:color w:val="auto"/>
          <w:kern w:val="0"/>
          <w:sz w:val="32"/>
          <w:szCs w:val="32"/>
        </w:rPr>
        <w:t>对学科建设有重要意义的高层次、标志性成果。</w:t>
      </w:r>
    </w:p>
    <w:p>
      <w:pPr>
        <w:adjustRightInd w:val="0"/>
        <w:snapToGrid w:val="0"/>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做细做深申报管理工作。总结经验，学校及各学院认真分析问题，查找差距，补足短板，根据国家各类基金项目的特征及教师科研的特征做好申报工作部署和安排。深入动员，积极动员具有申报资格的教师参与项目申报，引导广大科研工作者胸怀“国之大者”，鼓励大家围绕国家、区域重要发展战略，结合自身研究专长，认真准备项目申报书；狠抓质量，校园两级，多措并举，加大引导、指导和辅导力度，把好基金项目申请书的质量关；组织保障，做好国家基金项目申报政策及资助政策的解读和传达工作，做好项目申报书形式审查工作，为老师提供良好服务。</w:t>
      </w:r>
    </w:p>
    <w:p>
      <w:pPr>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3.为青年科研人才发展创造更有利条件。青年教师是学校科研高质量可持续成长的关键，努力为青年教师学术成长之路提供保障，引导帮助青年学者在学术道路上更好更快成长。加大青年教师项目培育的力度，以培育带动项目，促进人才成长，开创科研工作新局面。支持有条件的学院、科研平台面向校内教师、研究生举办选题、研究方法培训班，提</w:t>
      </w:r>
      <w:r>
        <w:rPr>
          <w:rFonts w:hint="eastAsia" w:ascii="仿宋_GB2312" w:hAnsi="仿宋_GB2312" w:eastAsia="仿宋_GB2312" w:cs="仿宋_GB2312"/>
          <w:color w:val="auto"/>
          <w:kern w:val="0"/>
          <w:sz w:val="32"/>
          <w:szCs w:val="32"/>
        </w:rPr>
        <w:t>升我校青年教师的研究水平。</w:t>
      </w:r>
    </w:p>
    <w:p>
      <w:pPr>
        <w:spacing w:line="560" w:lineRule="exact"/>
        <w:ind w:firstLine="643" w:firstLineChars="200"/>
        <w:jc w:val="left"/>
        <w:rPr>
          <w:rFonts w:ascii="仿宋_GB2312" w:hAnsi="仿宋_GB2312" w:eastAsia="仿宋_GB2312" w:cs="仿宋_GB2312"/>
          <w:b/>
          <w:bCs/>
          <w:color w:val="auto"/>
          <w:sz w:val="32"/>
          <w:szCs w:val="32"/>
        </w:rPr>
      </w:pPr>
      <w:r>
        <w:rPr>
          <w:rFonts w:hint="eastAsia" w:ascii="楷体_GB2312" w:hAnsi="楷体_GB2312" w:eastAsia="楷体_GB2312" w:cs="楷体_GB2312"/>
          <w:b/>
          <w:bCs/>
          <w:color w:val="auto"/>
          <w:sz w:val="32"/>
          <w:szCs w:val="32"/>
        </w:rPr>
        <w:t>（二）加强平台和智库建设，提升创新能力</w:t>
      </w:r>
      <w:r>
        <w:rPr>
          <w:rFonts w:hint="eastAsia" w:ascii="仿宋_GB2312" w:hAnsi="仿宋_GB2312" w:eastAsia="仿宋_GB2312" w:cs="仿宋_GB2312"/>
          <w:b/>
          <w:bCs/>
          <w:color w:val="auto"/>
          <w:sz w:val="32"/>
          <w:szCs w:val="32"/>
        </w:rPr>
        <w:t>。</w:t>
      </w:r>
    </w:p>
    <w:p>
      <w:pPr>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1.持续</w:t>
      </w:r>
      <w:r>
        <w:rPr>
          <w:rFonts w:hint="eastAsia" w:ascii="仿宋_GB2312" w:hAnsi="仿宋_GB2312" w:eastAsia="仿宋_GB2312" w:cs="仿宋_GB2312"/>
          <w:bCs/>
          <w:color w:val="auto"/>
          <w:sz w:val="32"/>
          <w:szCs w:val="32"/>
          <w:lang w:val="zh-TW"/>
        </w:rPr>
        <w:t>加强</w:t>
      </w:r>
      <w:r>
        <w:rPr>
          <w:rFonts w:hint="eastAsia" w:ascii="仿宋_GB2312" w:hAnsi="仿宋_GB2312" w:eastAsia="仿宋_GB2312" w:cs="仿宋_GB2312"/>
          <w:bCs/>
          <w:color w:val="auto"/>
          <w:sz w:val="32"/>
          <w:szCs w:val="32"/>
        </w:rPr>
        <w:t>平台</w:t>
      </w:r>
      <w:r>
        <w:rPr>
          <w:rFonts w:hint="eastAsia" w:ascii="仿宋_GB2312" w:hAnsi="仿宋_GB2312" w:eastAsia="仿宋_GB2312" w:cs="仿宋_GB2312"/>
          <w:bCs/>
          <w:color w:val="auto"/>
          <w:sz w:val="32"/>
          <w:szCs w:val="32"/>
          <w:lang w:val="zh-TW" w:eastAsia="zh-TW"/>
        </w:rPr>
        <w:t>建设</w:t>
      </w:r>
      <w:r>
        <w:rPr>
          <w:rFonts w:hint="eastAsia" w:ascii="仿宋_GB2312" w:hAnsi="仿宋_GB2312" w:eastAsia="仿宋_GB2312" w:cs="仿宋_GB2312"/>
          <w:bCs/>
          <w:color w:val="auto"/>
          <w:sz w:val="32"/>
          <w:szCs w:val="32"/>
          <w:lang w:val="zh-TW"/>
        </w:rPr>
        <w:t>，</w:t>
      </w:r>
      <w:r>
        <w:rPr>
          <w:rFonts w:hint="eastAsia" w:ascii="仿宋_GB2312" w:hAnsi="仿宋_GB2312" w:eastAsia="仿宋_GB2312" w:cs="仿宋_GB2312"/>
          <w:bCs/>
          <w:color w:val="auto"/>
          <w:sz w:val="32"/>
          <w:szCs w:val="32"/>
        </w:rPr>
        <w:t>建设高水平智库。充分发挥重要科研平台在国家级重大重点项目申报、标志性科研成果培育的组织功能。积极推进高质量平台建设，发挥学科优势，文理融合、交叉赋能，通过“内育外引”机制，提升科研平台开展团队研究的积极性和整体科研水平。持续做好科研平台的全过程管理服务，拓宽平台科研成果宣传、推广、转化渠道，充分发挥各类平台在学科建设与人才培养、科学研究、学术交流和社会服务等方面的引领作用。根据学校第三次党代会和“十四五”发展规划确定的发展目标，修订《浙江工商大学智库建设与管理办法》，为智库发展健全制度基础和组织保障。组织现代商贸协同创新中心等智库申报教育部协同创新中心。</w:t>
      </w:r>
    </w:p>
    <w:p>
      <w:pPr>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rPr>
        <w:t>2.鼓励文理融合、孵化创新团队。将软科学做硬，在智库、科研机构和创新团队的建设过程中，支持大数据、云计算、人工智能等理工科学者为人文社科类发展提供新范式、新技术和新工具，推进社科研究模式变革。支持文理联合组建科研基地、平台；发布一批交叉学科的课题指南；支持教师组建交叉学科创新团队申报课题，联合发表学术成果。</w:t>
      </w:r>
    </w:p>
    <w:p>
      <w:pPr>
        <w:spacing w:line="560" w:lineRule="exact"/>
        <w:ind w:firstLine="640" w:firstLineChars="200"/>
        <w:jc w:val="left"/>
        <w:rPr>
          <w:rFonts w:ascii="仿宋_GB2312" w:hAnsi="仿宋_GB2312" w:eastAsia="仿宋_GB2312" w:cs="仿宋_GB2312"/>
          <w:b/>
          <w:bCs/>
          <w:color w:val="auto"/>
          <w:kern w:val="0"/>
          <w:sz w:val="32"/>
          <w:szCs w:val="32"/>
        </w:rPr>
      </w:pPr>
      <w:r>
        <w:rPr>
          <w:rFonts w:hint="eastAsia" w:ascii="仿宋_GB2312" w:hAnsi="仿宋_GB2312" w:eastAsia="仿宋_GB2312" w:cs="仿宋_GB2312"/>
          <w:bCs/>
          <w:color w:val="auto"/>
          <w:kern w:val="0"/>
          <w:sz w:val="32"/>
          <w:szCs w:val="32"/>
        </w:rPr>
        <w:t>3.培育团队成果，提升成果质量。</w:t>
      </w:r>
      <w:r>
        <w:rPr>
          <w:rFonts w:hint="eastAsia" w:ascii="仿宋_GB2312" w:hAnsi="仿宋_GB2312" w:eastAsia="仿宋_GB2312" w:cs="仿宋_GB2312"/>
          <w:bCs/>
          <w:color w:val="auto"/>
          <w:sz w:val="32"/>
          <w:szCs w:val="32"/>
          <w:shd w:val="clear" w:color="auto" w:fill="FFFFFF"/>
        </w:rPr>
        <w:t>支持教师以各智库、科研机构为平台，以国家地方重大战略为导向，跨学科跨学院开展“专班制”“定向化”的团队研究。支持前期研</w:t>
      </w:r>
      <w:r>
        <w:rPr>
          <w:rFonts w:hint="eastAsia" w:ascii="仿宋_GB2312" w:hAnsi="仿宋_GB2312" w:eastAsia="仿宋_GB2312" w:cs="仿宋_GB2312"/>
          <w:color w:val="auto"/>
          <w:sz w:val="32"/>
          <w:szCs w:val="32"/>
          <w:shd w:val="clear" w:color="auto" w:fill="FFFFFF"/>
        </w:rPr>
        <w:t>究成果较好的团队，</w:t>
      </w:r>
      <w:r>
        <w:rPr>
          <w:rFonts w:hint="eastAsia" w:ascii="仿宋_GB2312" w:hAnsi="仿宋_GB2312" w:eastAsia="仿宋_GB2312" w:cs="仿宋_GB2312"/>
          <w:color w:val="auto"/>
          <w:kern w:val="0"/>
          <w:sz w:val="32"/>
          <w:szCs w:val="32"/>
        </w:rPr>
        <w:t>以申报国家级奖项及省部级一等奖为目标，加大投入，</w:t>
      </w:r>
      <w:r>
        <w:rPr>
          <w:rFonts w:hint="eastAsia" w:ascii="仿宋_GB2312" w:hAnsi="仿宋_GB2312" w:eastAsia="仿宋_GB2312" w:cs="仿宋_GB2312"/>
          <w:color w:val="auto"/>
          <w:sz w:val="32"/>
          <w:szCs w:val="32"/>
          <w:shd w:val="clear" w:color="auto" w:fill="FFFFFF"/>
        </w:rPr>
        <w:t>培育和产出若干学术水平高、影响力大的标志性成果。</w:t>
      </w:r>
    </w:p>
    <w:p>
      <w:pPr>
        <w:numPr>
          <w:ilvl w:val="255"/>
          <w:numId w:val="0"/>
        </w:numPr>
        <w:spacing w:line="560" w:lineRule="exact"/>
        <w:ind w:firstLine="643" w:firstLineChars="200"/>
        <w:jc w:val="left"/>
        <w:rPr>
          <w:rFonts w:ascii="楷体_GB2312" w:hAnsi="楷体_GB2312" w:eastAsia="楷体_GB2312" w:cs="楷体_GB2312"/>
          <w:b/>
          <w:color w:val="auto"/>
          <w:sz w:val="32"/>
          <w:szCs w:val="32"/>
        </w:rPr>
      </w:pPr>
      <w:r>
        <w:rPr>
          <w:rFonts w:hint="eastAsia" w:ascii="楷体_GB2312" w:hAnsi="楷体_GB2312" w:eastAsia="楷体_GB2312" w:cs="楷体_GB2312"/>
          <w:b/>
          <w:bCs/>
          <w:color w:val="auto"/>
          <w:sz w:val="32"/>
          <w:szCs w:val="32"/>
        </w:rPr>
        <w:t>（三）完善体制机制，营造优良氛围。</w:t>
      </w:r>
    </w:p>
    <w:p>
      <w:pPr>
        <w:pStyle w:val="36"/>
        <w:spacing w:line="560" w:lineRule="exact"/>
        <w:ind w:firstLine="64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sz w:val="32"/>
          <w:szCs w:val="32"/>
        </w:rPr>
        <w:t>创新评价机制，促进评价改革。加强交叉学科融合，促进我校特色学科发展，提高科研人员积极性。鼓励不同学科的科研人员通过合作方式，开展创新性的科学研究。深入落实“破五唯”要求，起草学校《高层次科研成果“破五唯”办法》。大力推进“一院一策”和学科强相关评价政策，</w:t>
      </w:r>
      <w:r>
        <w:rPr>
          <w:rFonts w:hint="eastAsia" w:ascii="仿宋_GB2312" w:hAnsi="仿宋_GB2312" w:eastAsia="仿宋_GB2312" w:cs="仿宋_GB2312"/>
          <w:color w:val="auto"/>
          <w:kern w:val="0"/>
          <w:sz w:val="32"/>
          <w:szCs w:val="32"/>
        </w:rPr>
        <w:t>起草并制定《人文社科类期刊分类分级试行实施细则》</w:t>
      </w:r>
      <w:r>
        <w:rPr>
          <w:rFonts w:hint="eastAsia" w:ascii="仿宋_GB2312" w:hAnsi="仿宋_GB2312" w:eastAsia="仿宋_GB2312" w:cs="仿宋_GB2312"/>
          <w:color w:val="auto"/>
          <w:sz w:val="32"/>
          <w:szCs w:val="32"/>
        </w:rPr>
        <w:t>。</w:t>
      </w:r>
    </w:p>
    <w:p>
      <w:pPr>
        <w:pStyle w:val="12"/>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完善培育机制，催生标志性成果。制定对标志性成果的培育机制，挖掘有潜力的科研团队，调动科研人员积极性，建立浓厚的学术氛围，促进标志性成果高效产出。社会科学部牵头二级学院，制定重大标志成果的培育计划；成立工作专班、做好后勤保障工作；邀请校内外专家，定期评估计划实施情况。</w:t>
      </w:r>
    </w:p>
    <w:p>
      <w:pPr>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kern w:val="0"/>
          <w:sz w:val="32"/>
          <w:szCs w:val="32"/>
        </w:rPr>
        <w:t>举办学术活动，营造优良科研氛围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围绕学校发展和学科建设的需要，制定每学期的讲座和论坛活动计划，在校内营造浓厚的科研氛围，通过微信公众号、部门网站、展板等多种形式及时预告学术论坛、报告和讲座的信息，并对重要学术活动的内容进行总结报道。</w:t>
      </w:r>
    </w:p>
    <w:p>
      <w:pPr>
        <w:spacing w:line="560" w:lineRule="exact"/>
        <w:ind w:firstLine="643" w:firstLineChars="200"/>
        <w:jc w:val="left"/>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（四）做好制度保障，完善服务流程。</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健全管理制度和流程。坚决贯彻落实国家部委、省教育厅及相关主管部门出台的一系列优化科研经费管理、推动科研管理体制改革的管理办法和政策措施，及时调整、完善学校相关科研管理规定，保证科研政策及时落地。根据《国务院办公厅关于改革完善中央财政科研经费管理的若干意见》（国办发〔2021〕32号）、《国家社会科学基金项目资金管理办法》的文件精神，完善项目预算、间接经费、结余经费及经费包干制等管理办法。简化经费使用审批流程，给予科研人员更大经费管理自主权，激励科研人员产出更多高质量科技成果。</w:t>
      </w:r>
    </w:p>
    <w:p>
      <w:pPr>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做好常态化培训工作。开展“三为”系列活动，将党建与业务紧密结合，深入学院开展“科研面对面”活动，主动做好科研相关政策的宣讲和解读工作；针对新入职教师开展科研经费管理办法及规范使用的培训。进一步</w:t>
      </w:r>
      <w:r>
        <w:rPr>
          <w:rFonts w:hint="eastAsia" w:ascii="仿宋_GB2312" w:hAnsi="仿宋_GB2312" w:eastAsia="仿宋_GB2312" w:cs="仿宋_GB2312"/>
          <w:bCs/>
          <w:color w:val="auto"/>
          <w:sz w:val="32"/>
          <w:szCs w:val="32"/>
          <w:shd w:val="clear" w:color="auto" w:fill="FFFFFF"/>
        </w:rPr>
        <w:t>落实科研机构、智库和科研人员经费管理自主权，激发创新活力。</w:t>
      </w:r>
    </w:p>
    <w:p>
      <w:pPr>
        <w:numPr>
          <w:ilvl w:val="255"/>
          <w:numId w:val="0"/>
        </w:numPr>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3.优化科研窗口服务。持续提升“师生之家”窗口服务功能，</w:t>
      </w:r>
      <w:r>
        <w:rPr>
          <w:rFonts w:hint="eastAsia" w:ascii="仿宋_GB2312" w:hAnsi="仿宋_GB2312" w:eastAsia="仿宋_GB2312" w:cs="仿宋_GB2312"/>
          <w:bCs/>
          <w:color w:val="auto"/>
          <w:sz w:val="32"/>
          <w:szCs w:val="32"/>
          <w:lang w:eastAsia="zh-Hans"/>
        </w:rPr>
        <w:t>助推</w:t>
      </w:r>
      <w:r>
        <w:rPr>
          <w:rFonts w:hint="eastAsia" w:ascii="仿宋_GB2312" w:hAnsi="仿宋_GB2312" w:eastAsia="仿宋_GB2312" w:cs="仿宋_GB2312"/>
          <w:bCs/>
          <w:color w:val="auto"/>
          <w:sz w:val="32"/>
          <w:szCs w:val="32"/>
        </w:rPr>
        <w:t>科研</w:t>
      </w:r>
      <w:r>
        <w:rPr>
          <w:rFonts w:hint="eastAsia" w:ascii="仿宋_GB2312" w:hAnsi="仿宋_GB2312" w:eastAsia="仿宋_GB2312" w:cs="仿宋_GB2312"/>
          <w:bCs/>
          <w:color w:val="auto"/>
          <w:sz w:val="32"/>
          <w:szCs w:val="32"/>
          <w:lang w:eastAsia="zh-Hans"/>
        </w:rPr>
        <w:t>服务“最多跑一次”</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zh-TW"/>
        </w:rPr>
        <w:t>推进</w:t>
      </w:r>
      <w:r>
        <w:rPr>
          <w:rFonts w:hint="eastAsia" w:ascii="仿宋_GB2312" w:hAnsi="仿宋_GB2312" w:eastAsia="仿宋_GB2312" w:cs="仿宋_GB2312"/>
          <w:bCs/>
          <w:color w:val="auto"/>
          <w:sz w:val="32"/>
          <w:szCs w:val="32"/>
          <w:lang w:val="zh-TW" w:eastAsia="zh-TW"/>
        </w:rPr>
        <w:t>科研系统与财务系统的对接</w:t>
      </w:r>
      <w:r>
        <w:rPr>
          <w:rFonts w:hint="eastAsia" w:ascii="仿宋_GB2312" w:hAnsi="仿宋_GB2312" w:eastAsia="仿宋_GB2312" w:cs="仿宋_GB2312"/>
          <w:bCs/>
          <w:color w:val="auto"/>
          <w:sz w:val="32"/>
          <w:szCs w:val="32"/>
          <w:lang w:val="zh-TW"/>
        </w:rPr>
        <w:t>工作</w:t>
      </w:r>
      <w:r>
        <w:rPr>
          <w:rFonts w:hint="eastAsia" w:ascii="仿宋_GB2312" w:hAnsi="仿宋_GB2312" w:eastAsia="仿宋_GB2312" w:cs="仿宋_GB2312"/>
          <w:bCs/>
          <w:color w:val="auto"/>
          <w:sz w:val="32"/>
          <w:szCs w:val="32"/>
          <w:lang w:val="zh-TW" w:eastAsia="zh-TW"/>
        </w:rPr>
        <w:t>，科研服务相关工作实现</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zh-TW" w:eastAsia="zh-TW"/>
        </w:rPr>
        <w:t>网上办事</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zh-TW" w:eastAsia="zh-TW"/>
        </w:rPr>
        <w:t>的线上服务</w:t>
      </w:r>
      <w:r>
        <w:rPr>
          <w:rFonts w:hint="eastAsia" w:ascii="仿宋_GB2312" w:hAnsi="仿宋_GB2312" w:eastAsia="仿宋_GB2312" w:cs="仿宋_GB2312"/>
          <w:bCs/>
          <w:color w:val="auto"/>
          <w:sz w:val="32"/>
          <w:szCs w:val="32"/>
          <w:lang w:val="zh-TW"/>
        </w:rPr>
        <w:t>。</w:t>
      </w:r>
      <w:r>
        <w:rPr>
          <w:rFonts w:hint="eastAsia" w:ascii="仿宋_GB2312" w:hAnsi="仿宋_GB2312" w:eastAsia="仿宋_GB2312" w:cs="仿宋_GB2312"/>
          <w:bCs/>
          <w:color w:val="auto"/>
          <w:sz w:val="32"/>
          <w:szCs w:val="32"/>
        </w:rPr>
        <w:t>完善科研服务平台功能，提高科研数据质量，让数据跑代替科研人员跑，实现科研数据只录入一次，只审核一次，推动数据安全共享。</w:t>
      </w:r>
    </w:p>
    <w:p>
      <w:pPr>
        <w:spacing w:line="560" w:lineRule="exact"/>
        <w:ind w:firstLine="643" w:firstLineChars="200"/>
        <w:jc w:val="left"/>
        <w:rPr>
          <w:rFonts w:ascii="楷体_GB2312" w:hAnsi="楷体_GB2312" w:eastAsia="楷体_GB2312" w:cs="楷体_GB2312"/>
          <w:bCs/>
          <w:color w:val="auto"/>
          <w:sz w:val="32"/>
          <w:szCs w:val="32"/>
        </w:rPr>
      </w:pPr>
      <w:r>
        <w:rPr>
          <w:rFonts w:hint="eastAsia" w:ascii="楷体_GB2312" w:hAnsi="楷体_GB2312" w:eastAsia="楷体_GB2312" w:cs="楷体_GB2312"/>
          <w:b/>
          <w:color w:val="auto"/>
          <w:sz w:val="32"/>
          <w:szCs w:val="32"/>
        </w:rPr>
        <w:t>（五）提升社会服务能力，积极推进成果转化。</w:t>
      </w:r>
    </w:p>
    <w:p>
      <w:pPr>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1.扎实推进与省内地方政府的产学研合作。发挥各地产学研联盟的作用，完善合作创新体系；依托“大地计划”，落实二级学院对地方技术转移中心的建设和发展主体责任；开拓与各高校、各政府部门、各产业或企业集群的合作。 </w:t>
      </w:r>
    </w:p>
    <w:p>
      <w:pPr>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2.优化科技成果转化环境，推进科技成果转化工作。强化特色优势学科服务于地方企业，关切产业、企业需求；丰富成果转化实现形式，探索、完善科技成果拍卖活动；举行科技成果政策宣讲，营造科技成果转化的浓厚氛围。 </w:t>
      </w:r>
    </w:p>
    <w:p>
      <w:pPr>
        <w:spacing w:line="56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加强顶层设计，制定并完善教师参与社会服务的激励机制。依据对社会、对经济发展的贡献，提高横向课题、科技成果转化在高层次认定、教师职称评审中的影响，激发科研人员的成果转化积极性，实现产学研的创新生态激励体系。</w:t>
      </w:r>
    </w:p>
    <w:p>
      <w:pPr>
        <w:pStyle w:val="36"/>
        <w:spacing w:line="560" w:lineRule="exact"/>
        <w:ind w:firstLine="640"/>
        <w:rPr>
          <w:rFonts w:ascii="仿宋_GB2312" w:hAnsi="仿宋_GB2312" w:eastAsia="仿宋_GB2312" w:cs="仿宋_GB2312"/>
          <w:color w:val="auto"/>
          <w:sz w:val="32"/>
          <w:szCs w:val="32"/>
        </w:rPr>
      </w:pPr>
    </w:p>
    <w:p>
      <w:pPr>
        <w:rPr>
          <w:color w:val="auto"/>
        </w:rPr>
      </w:pPr>
      <w:r>
        <w:rPr>
          <w:color w:val="auto"/>
        </w:rPr>
        <w:br w:type="page"/>
      </w:r>
    </w:p>
    <w:p>
      <w:pPr>
        <w:pStyle w:val="3"/>
        <w:rPr>
          <w:rStyle w:val="28"/>
          <w:color w:val="auto"/>
          <w:sz w:val="44"/>
          <w:szCs w:val="44"/>
        </w:rPr>
      </w:pPr>
      <w:bookmarkStart w:id="3" w:name="_Toc103345060"/>
      <w:bookmarkStart w:id="4" w:name="_Toc5262934"/>
      <w:bookmarkStart w:id="5" w:name="_Toc510517459"/>
      <w:r>
        <w:rPr>
          <w:rStyle w:val="28"/>
          <w:rFonts w:hint="eastAsia"/>
          <w:color w:val="auto"/>
          <w:sz w:val="44"/>
          <w:szCs w:val="44"/>
        </w:rPr>
        <w:t>2021年本科生、研究生招生与就业工作</w:t>
      </w:r>
      <w:bookmarkEnd w:id="3"/>
    </w:p>
    <w:p>
      <w:pPr>
        <w:pStyle w:val="3"/>
        <w:rPr>
          <w:color w:val="auto"/>
        </w:rPr>
      </w:pPr>
      <w:bookmarkStart w:id="6" w:name="_Toc103343698"/>
      <w:bookmarkStart w:id="7" w:name="_Toc103345061"/>
      <w:r>
        <w:rPr>
          <w:rStyle w:val="28"/>
          <w:rFonts w:hint="eastAsia"/>
          <w:color w:val="auto"/>
          <w:sz w:val="44"/>
          <w:szCs w:val="44"/>
        </w:rPr>
        <w:t>公开报告</w:t>
      </w:r>
      <w:bookmarkEnd w:id="4"/>
      <w:bookmarkEnd w:id="5"/>
      <w:bookmarkEnd w:id="6"/>
      <w:bookmarkEnd w:id="7"/>
      <w:r>
        <w:rPr>
          <w:rFonts w:hint="eastAsia"/>
          <w:color w:val="auto"/>
        </w:rPr>
        <w:t xml:space="preserve">                    </w:t>
      </w:r>
    </w:p>
    <w:p>
      <w:pPr>
        <w:pStyle w:val="33"/>
        <w:ind w:firstLine="640"/>
        <w:rPr>
          <w:rFonts w:ascii="黑体" w:hAnsi="黑体" w:eastAsia="黑体" w:cs="黑体"/>
          <w:b w:val="0"/>
          <w:bCs/>
          <w:color w:val="auto"/>
        </w:rPr>
      </w:pPr>
      <w:r>
        <w:rPr>
          <w:rFonts w:hint="eastAsia" w:ascii="黑体" w:hAnsi="黑体" w:eastAsia="黑体" w:cs="黑体"/>
          <w:b w:val="0"/>
          <w:bCs/>
          <w:color w:val="auto"/>
        </w:rPr>
        <w:t>一、基本情况</w:t>
      </w:r>
    </w:p>
    <w:p>
      <w:pPr>
        <w:pStyle w:val="33"/>
        <w:rPr>
          <w:rFonts w:hAnsi="楷体_GB2312" w:cs="楷体_GB2312"/>
          <w:color w:val="auto"/>
        </w:rPr>
      </w:pPr>
      <w:r>
        <w:rPr>
          <w:rFonts w:hint="eastAsia" w:hAnsi="楷体_GB2312" w:cs="楷体_GB2312"/>
          <w:color w:val="auto"/>
        </w:rPr>
        <w:t>（一）招生情况</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本科生：</w:t>
      </w:r>
      <w:r>
        <w:rPr>
          <w:rFonts w:hint="eastAsia" w:ascii="仿宋_GB2312" w:hAnsi="仿宋_GB2312" w:eastAsia="仿宋_GB2312" w:cs="仿宋_GB2312"/>
          <w:color w:val="auto"/>
          <w:kern w:val="0"/>
          <w:sz w:val="32"/>
          <w:szCs w:val="32"/>
        </w:rPr>
        <w:t>2021年，学校实际招收全日制本科生4647人。其中，普通高考录取3915人、“三位一体”综合评价招生216人、高水平运动员14人、</w:t>
      </w:r>
      <w:bookmarkStart w:id="8" w:name="_Hlk78791789"/>
      <w:r>
        <w:rPr>
          <w:rFonts w:hint="eastAsia" w:ascii="仿宋_GB2312" w:hAnsi="仿宋_GB2312" w:eastAsia="仿宋_GB2312" w:cs="仿宋_GB2312"/>
          <w:color w:val="auto"/>
          <w:kern w:val="0"/>
          <w:sz w:val="32"/>
          <w:szCs w:val="32"/>
        </w:rPr>
        <w:t>少数民族预科10人、少数民族预科</w:t>
      </w:r>
      <w:bookmarkEnd w:id="8"/>
      <w:r>
        <w:rPr>
          <w:rFonts w:hint="eastAsia" w:ascii="仿宋_GB2312" w:hAnsi="仿宋_GB2312" w:eastAsia="仿宋_GB2312" w:cs="仿宋_GB2312"/>
          <w:color w:val="auto"/>
          <w:kern w:val="0"/>
          <w:sz w:val="32"/>
          <w:szCs w:val="32"/>
        </w:rPr>
        <w:t>班转入9人、普通高校专升本267人、行政管理（人民武装方向）70人、“四年制高职”本科100人、港澳台15名、台湾免试生2人、第二学士学位27人、北京民委专项2人。</w:t>
      </w:r>
    </w:p>
    <w:p>
      <w:pPr>
        <w:spacing w:line="560" w:lineRule="exact"/>
        <w:ind w:firstLine="56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研究生：</w:t>
      </w:r>
      <w:r>
        <w:rPr>
          <w:rFonts w:hint="eastAsia" w:ascii="仿宋_GB2312" w:hAnsi="仿宋_GB2312" w:eastAsia="仿宋_GB2312" w:cs="仿宋_GB2312"/>
          <w:color w:val="auto"/>
          <w:sz w:val="32"/>
          <w:szCs w:val="32"/>
        </w:rPr>
        <w:t>2021年，学校硕士研究生录取人数为2386人，其中全日制学术型研究生780人，全日制专业学位研究生1153人，非全日制专业学位研究生453人。一志愿录取率达到 84.4%，创历史新高。博士研究生录取人数为 97人，其中直博生2人，硕博连读12人。</w:t>
      </w:r>
    </w:p>
    <w:p>
      <w:pPr>
        <w:spacing w:line="560" w:lineRule="exact"/>
        <w:ind w:firstLine="56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国际生：</w:t>
      </w:r>
      <w:r>
        <w:rPr>
          <w:rFonts w:hint="eastAsia" w:ascii="仿宋_GB2312" w:hAnsi="仿宋_GB2312" w:eastAsia="仿宋_GB2312" w:cs="仿宋_GB2312"/>
          <w:color w:val="auto"/>
          <w:sz w:val="32"/>
          <w:szCs w:val="32"/>
        </w:rPr>
        <w:t>2021年秋季，学校共注册214位学历国际生，新生来自44个国家，其中本科生122人，硕士生49人，博士生43人。语言生注册19人。生源国别进一步优化：新生分布5个大洲。亚洲学生数排第一，占59.8%；来自亚洲、欧洲、北美洲和南美洲的学生人数占比73.4%；非洲学生人数占26.6%。生源国前三名分别是马来西亚、印度尼西亚、泰国，三大生源国新生人数占总人数的44.4%。学历层次进一步优化：硕博研究生占总注册人数的43%，其中新生硕士占比22.9%，新生博士占比20.1%。虽然受全球疫情影响，博士研究生占比逐年攀升，从2020年的17.9%提高至2021年的20.1%，博士研究生人数逆势增长。</w:t>
      </w:r>
    </w:p>
    <w:p>
      <w:pPr>
        <w:spacing w:line="560" w:lineRule="exact"/>
        <w:ind w:firstLine="56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（二）就业情况</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学校2021届毕业生共有5328人。其中，本科生3856人、研究生1472人。截至2021年8月31日，我校毕业生毕业去向落实率为94.73%，其中：本科生毕业去向落实率为95.02%，研究生毕业去向落实率为93.95%。</w:t>
      </w:r>
    </w:p>
    <w:p>
      <w:pPr>
        <w:pStyle w:val="33"/>
        <w:ind w:firstLine="640"/>
        <w:rPr>
          <w:rFonts w:ascii="黑体" w:hAnsi="黑体" w:eastAsia="黑体" w:cs="黑体"/>
          <w:b w:val="0"/>
          <w:bCs/>
          <w:color w:val="auto"/>
        </w:rPr>
      </w:pPr>
      <w:r>
        <w:rPr>
          <w:rFonts w:hint="eastAsia" w:ascii="黑体" w:hAnsi="黑体" w:eastAsia="黑体" w:cs="黑体"/>
          <w:b w:val="0"/>
          <w:bCs/>
          <w:color w:val="auto"/>
        </w:rPr>
        <w:t>二、工作举措</w:t>
      </w:r>
    </w:p>
    <w:p>
      <w:pPr>
        <w:pStyle w:val="33"/>
        <w:rPr>
          <w:rFonts w:hAnsi="楷体_GB2312" w:cs="楷体_GB2312"/>
          <w:bCs/>
          <w:color w:val="auto"/>
        </w:rPr>
      </w:pPr>
      <w:r>
        <w:rPr>
          <w:rFonts w:hint="eastAsia" w:hAnsi="楷体_GB2312" w:cs="楷体_GB2312"/>
          <w:bCs/>
          <w:color w:val="auto"/>
        </w:rPr>
        <w:t>（一）招生工作</w:t>
      </w:r>
    </w:p>
    <w:p>
      <w:pPr>
        <w:pStyle w:val="33"/>
        <w:rPr>
          <w:rFonts w:hAnsi="楷体_GB2312" w:cs="楷体_GB2312"/>
          <w:color w:val="auto"/>
        </w:rPr>
      </w:pPr>
      <w:r>
        <w:rPr>
          <w:rFonts w:hint="eastAsia" w:hAnsi="楷体_GB2312" w:cs="楷体_GB2312"/>
          <w:color w:val="auto"/>
        </w:rPr>
        <w:t>1. 本科招生工作</w:t>
      </w:r>
    </w:p>
    <w:p>
      <w:pPr>
        <w:pStyle w:val="33"/>
        <w:ind w:firstLine="640"/>
        <w:rPr>
          <w:rFonts w:ascii="仿宋_GB2312" w:hAnsi="仿宋_GB2312" w:eastAsia="仿宋_GB2312" w:cs="仿宋_GB2312"/>
          <w:b w:val="0"/>
          <w:color w:val="auto"/>
          <w:kern w:val="0"/>
        </w:rPr>
      </w:pPr>
      <w:r>
        <w:rPr>
          <w:rFonts w:hint="eastAsia" w:ascii="仿宋_GB2312" w:hAnsi="仿宋_GB2312" w:eastAsia="仿宋_GB2312" w:cs="仿宋_GB2312"/>
          <w:b w:val="0"/>
          <w:color w:val="auto"/>
          <w:kern w:val="0"/>
        </w:rPr>
        <w:t>2021年，学校健全校院两级招生机制，完善招生工作组织架构，统筹人才培养、专业建设、招生宣传、“三位一体”招生等各项工作。在学校普通本科招生工作领导小组的基础上，吸纳教师、学生及校友代表参加，合力推进学校招生宣传工作。完善学院“分片负责”的招生模式，做到重点生源中学100%覆盖，并进一步探索优质生源的对接与锁定机制。</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做好招生宣传，学校影响持续扩大。精心设计宣传内容，学校校长亲笔签发并派送建校110周年纪念版录取通知书，受杭州电视台、钱江晚报、杭州日报等多家媒体报道，相关视频被学习强国、省政府新闻办转载，登上微博热搜榜。邀请郁建兴校长、知名校友、专家教授开展《校长面对面》、《校友说专业》微讲堂、云端校园开放日《探秘商大专业》、特色专业展播等活动，依托腾讯、百度、B站、中青报等实现300万余人次的曝光度；参加腾讯、浙江电视台、浙江卫视等15家招生主流媒体招办访谈；通过腾讯朋友圈、新浪APP开屏实现招生信息定向推送家长、考生人群1310万人次。</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实施“阳光工程”，深入开展招生咨询服务。</w:t>
      </w:r>
      <w:r>
        <w:rPr>
          <w:rFonts w:hint="eastAsia" w:ascii="仿宋_GB2312" w:hAnsi="仿宋_GB2312" w:eastAsia="仿宋_GB2312" w:cs="仿宋_GB2312"/>
          <w:color w:val="auto"/>
          <w:sz w:val="32"/>
          <w:szCs w:val="32"/>
        </w:rPr>
        <w:t>线下，学校学院党政干部、专业教师、学生招生志愿者走进浙江省100多所重点生源中学，并赴安徽、江苏等生源大省参加招生咨询会，面对面为考生和家长解读高考政策、学校优势特色，进行志愿填报指导。线上，电话咨询热线近14400人次（截止八月中旬），QQ在线咨询近11051人次、超80000条记录，微信小程序与公众号咨询达5100人次、共计消息8240余条。实时发布招生信息，及时公开招生政策、招生程序、投档分数、录取进度以及监督途径等信息，做到让学生和家长放心，让社会放心。</w:t>
      </w:r>
    </w:p>
    <w:p>
      <w:pPr>
        <w:pStyle w:val="33"/>
        <w:rPr>
          <w:rFonts w:hAnsi="楷体_GB2312" w:cs="楷体_GB2312"/>
          <w:color w:val="auto"/>
        </w:rPr>
      </w:pPr>
      <w:r>
        <w:rPr>
          <w:rFonts w:hint="eastAsia" w:hAnsi="楷体_GB2312" w:cs="楷体_GB2312"/>
          <w:color w:val="auto"/>
        </w:rPr>
        <w:t>2.研究生招生工作</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2021年，学校研究生复试主要通过网络远程方式开展，仅少数非全日制专业采用现场复试的形式。为保证相关复试录取工作顺利开展，学校多次召开专项会议，研究部署相关工作安排：（1）加强组织领导。学校成立由分管校领导、研究生院负责人、校纪检监察部门负责人和各招生学院负责人组成的校研究生招生工作领导小组，负责对学校研究生招生工作的领导和统筹。学院成立以学院院长为第一负责人、学院纪检委员参与的学院招生工作领导小组，负责本学院研究生招生工作的领导、组织、协调和管理。（2）完善规章制度。按照上级有关文件，制定《浙江工商大学2021年硕士研究生招生复试及录取工作实施方案》《浙江工商大学2021年博士研究生招生复试及录取工作实施方案》，下发《浙江工商大学2021年硕士研究生招生政策汇编》等文件至各招生学院，对全校研究生招生工作的各个环节作统一指导和规范。（3）狠抓过程管理。研究生院会同校领导、纪检监察室成立巡查组，对所有招生学院的复试现场开展巡查指导，保证“全员、全方位、全过程”模拟演练。（4）强调信息公开。学校的复试及录取工作实施方案、学院的复试实施细则均在复试前公示，复试名单、拟录取名单等信息也第一时间对外公示。</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学校稳步推进疫情期间研究生招生宣传与服务工作，为 下一年度招生工作夯实基础。鼓励招生学院开展线上学术夏令营活动，加强本校生和重点高校宣传，切实提高学校推免生的数量和质量；与360教育在线、中国研究生招生信息网等单位合作，通过微博微信、网络直播等新媒体手段进行院校推广，与考生互动；招募研究生招生宣传志愿者，成立专项工作队伍，配合开展研究生招生宣传与服务工作；通过学校微信公众号、研究生招生信息网发布招生简章、常见问题解答等内容，全方位保障研究生报名工作的顺利开展。同时，严把博士研究生招生质量，通过修订硕博连读招生管理办法、博士研究生招生章程等措施改革招考方式。2021年博士招生中首次取消“普通招考”类别，全面试行实施博士生“申请-考核”制招生。设立“校长特别津贴”和“博士研究生助研津贴政策”，有效提升博士生待遇，吸引优质生源报考。</w:t>
      </w:r>
    </w:p>
    <w:p>
      <w:pPr>
        <w:pStyle w:val="33"/>
        <w:rPr>
          <w:rFonts w:hAnsi="楷体_GB2312" w:cs="楷体_GB2312"/>
          <w:color w:val="auto"/>
        </w:rPr>
      </w:pPr>
      <w:r>
        <w:rPr>
          <w:rFonts w:hint="eastAsia" w:hAnsi="楷体_GB2312" w:cs="楷体_GB2312"/>
          <w:color w:val="auto"/>
        </w:rPr>
        <w:t>3.国际生招生工作</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继续打造数字经济专业群，丰富“留学商大”品牌内涵。2021年，学校围绕国家“一带一路”战略布局和浙江数字经济“一号工程”，重点打造了以电子商务、物流管理等为主的数字经济专业群投放重点生源市场招生，提高我校来华留学与浙江区域社会经济发展的契合度，服务国家战略及地方经济社会发展。在2021年新生中50%以上的学生就读上述数字经济相关专业，相关特色专业深受留学生的欢迎。</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进一步创新办学和招生模式，继续打造产教融合项目。2021年，学校与留学中国预科教育联盟（CCN）和“一带一路”人才培养校企联盟（UEA）合作的跨境电商和商务汉语校企合作项目招生实现突破。进一步拓宽我校国际生“政产学”培养，提升专业的含金量和品牌影响力，加深产教融合，也为我校招生拓宽渠道，积累稳定的优质生源。</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进一步扩大我校东南亚国际生优质生源圈。在疫情背景下，我校创新招生模式，通过组织策划面向东南亚国家的“线上留学商大专场交流会”，开拓校企合作招生培养模式等举措，我校在目标生源市场的招生渠道不断拓宽，知名度不断提升，进一步扩大了在东南亚地区的国际生优质生源圈，马来西亚、印尼、泰国等国家学生数明显增加。</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进一步发挥预科教育在提高学生生源质量上的作用，积极开展国际生预科教育。学校与留学中国预科教育联盟合作培养的学生均需通过预科阶段语言应用力、学术基本功和文化适应力课程学习。面向马来西亚学生开展预科教育，结合马来西亚学生高中教育教学特点，提供定制化课程，通过预科课程强化学习，帮助学生进一步提升汉语和学科基础知识，为进入学历阶段学习打好基础，有效地保证了生源质量。</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全面开展入学考试选拔机制，坚持逐年提高生源质量。2021年国际生招生录取工作中全面开展入学考试选拔机制，在基本的入学材料审核基础上，开展语言能力、中国国情和心理测评三个模块的测试，综合评估学生的录取资格。在满足基本录取资格的基础上，各培养学院根据专业需要和培养层次对申请者进行入学考核。针对硕博研究生开展以面试为主要形式的入学考核作为招生的必须环节。</w:t>
      </w:r>
    </w:p>
    <w:p>
      <w:pPr>
        <w:pStyle w:val="33"/>
        <w:rPr>
          <w:rFonts w:hAnsi="楷体_GB2312" w:cs="楷体_GB2312"/>
          <w:color w:val="auto"/>
        </w:rPr>
      </w:pPr>
      <w:r>
        <w:rPr>
          <w:rFonts w:hint="eastAsia" w:hAnsi="楷体_GB2312" w:cs="楷体_GB2312"/>
          <w:color w:val="auto"/>
        </w:rPr>
        <w:t>（二）就业工作</w:t>
      </w:r>
    </w:p>
    <w:p>
      <w:pPr>
        <w:pStyle w:val="33"/>
        <w:ind w:firstLine="640"/>
        <w:jc w:val="both"/>
        <w:rPr>
          <w:rFonts w:ascii="仿宋_GB2312" w:hAnsi="仿宋_GB2312" w:eastAsia="仿宋_GB2312" w:cs="仿宋_GB2312"/>
          <w:b w:val="0"/>
          <w:color w:val="auto"/>
          <w:kern w:val="0"/>
        </w:rPr>
      </w:pPr>
      <w:r>
        <w:rPr>
          <w:rFonts w:hint="eastAsia" w:ascii="仿宋_GB2312" w:hAnsi="仿宋_GB2312" w:eastAsia="仿宋_GB2312" w:cs="仿宋_GB2312"/>
          <w:b w:val="0"/>
          <w:color w:val="auto"/>
          <w:kern w:val="0"/>
        </w:rPr>
        <w:t xml:space="preserve">强化责任担当，引导毕业生服务国家战略。学校积极应对疫情对就业工作的影响，建立疫情常态化下就业工作新机制，扎实推进就业工作。在就业工作中坚持贯彻“一把手工程”，通过就业工作推进会、就业动态监测、就业“百日冲刺行动”、就业专项调研、总结交流会等举措，确定就业工作目标、解决就业工作具体问题，把“学校主导、院系为主、全程指导、全员参与”的长效工作机制落在实处，分层次引领大学生高质量更充分就业。着力构建毕业生数据反馈机制，发布《2021届毕业生就业质量报告》，公布《2018届、2020届毕业生职业发展状况及人才培养质量调查报告》。多维引导毕业生服务国家战略与地方发展。学校以国家战略需求为导向，以服务地方经济建设为主线，主动对接“一带一路”建设、长江经济带等人才需求，协同多地组织部、人社局开展人才招引工作。2021 届毕业生中，103人考取浙江省县乡机关选调生（录取人数列省属高校第一），17人参加西部专招等各类基层项目、5人参军入伍、585人考取公务员机关事业单位。 </w:t>
      </w:r>
    </w:p>
    <w:p>
      <w:pPr>
        <w:pStyle w:val="33"/>
        <w:ind w:firstLine="640"/>
        <w:jc w:val="both"/>
        <w:rPr>
          <w:rFonts w:ascii="仿宋_GB2312" w:hAnsi="仿宋_GB2312" w:eastAsia="仿宋_GB2312" w:cs="仿宋_GB2312"/>
          <w:color w:val="auto"/>
          <w:kern w:val="0"/>
        </w:rPr>
      </w:pPr>
      <w:r>
        <w:rPr>
          <w:rFonts w:hint="eastAsia" w:ascii="仿宋_GB2312" w:hAnsi="仿宋_GB2312" w:eastAsia="仿宋_GB2312" w:cs="仿宋_GB2312"/>
          <w:b w:val="0"/>
          <w:color w:val="auto"/>
          <w:kern w:val="0"/>
        </w:rPr>
        <w:t>整合内外资源，构建多层次的生涯教育体系。为助力学生发展和提高就业竞争力，经过多年实践，学校形成以课程建设为基础，以师资队伍建设为依托，以实践活动为抓手的生涯教育体系。在浙江省第十三届大学生职业生涯规划大赛中，荣获一等奖2项、二等奖2项、三等奖3项和优胜奖3项，3名教师被授予优秀指导教师称号，学校连续六年荣获省赛最佳组织奖。培育专业化的指导师资队伍，先后组织32人次参加TTT培训、全球职业规划师、PBL等师资培训。继续开展“职面未来”就业服务集结号系列活动200多场，开展“简历面试工作坊”、“职来职往”实习精英挑战赛、模拟招聘大赛等活动；组织“浙江名企行”职场体验系列活动，组织走访吉利集团、天能集团、杭州衣科信息技术有限公司等用人单位；开展“公务员之路”、“留学沙龙”、“考研工作坊” 等辅导培训，参与学生2000余人次，为学生提供多样的职业成长路径。</w:t>
      </w:r>
    </w:p>
    <w:p>
      <w:pPr>
        <w:pStyle w:val="33"/>
        <w:ind w:firstLine="640"/>
        <w:jc w:val="both"/>
        <w:rPr>
          <w:rFonts w:ascii="仿宋_GB2312" w:hAnsi="仿宋_GB2312" w:eastAsia="仿宋_GB2312" w:cs="仿宋_GB2312"/>
          <w:b w:val="0"/>
          <w:color w:val="auto"/>
          <w:kern w:val="0"/>
        </w:rPr>
      </w:pPr>
      <w:r>
        <w:rPr>
          <w:rFonts w:hint="eastAsia" w:ascii="仿宋_GB2312" w:hAnsi="仿宋_GB2312" w:eastAsia="仿宋_GB2312" w:cs="仿宋_GB2312"/>
          <w:b w:val="0"/>
          <w:color w:val="auto"/>
          <w:kern w:val="0"/>
        </w:rPr>
        <w:t>聚焦线上线下市场，积极拓展多元化就业空间。积极适应疫情常态化下的就业市场变动，突出需求导向，优化智慧就业服务平台，满足学生和用人单位线上的一站式、全方位对接需求。2021年，学校就业系统新增单位1073家，累计 1.14万家；全年发布招聘信息4000多条，提供就业岗位10万多个。围绕毕业生主要就业行业流向，密切校地企合作，继续做好杭、绍、湖、温、嘉等地市人才工作站工作；主动走访对接信息技术、金融、商贸流通等重点行业的用人单位大客户，如物产中大、兴合集团、中信证券等，开发市场需求；落实第二学士学位、科研助理等政策岗位，多渠道拓展学生毕业去向。2021年，共举办线下行业专场、地方专场、专业专场、校友专场等双选招聘会9场，累计参会企业1000 多家，提供就业岗位超过3万个；举办线上综合类、专业类、实习类线上招聘会4场，提供就业岗位3万余个，学生投递简历2000多份；组织宣讲会350多场，提供优质岗位1.7万多个；组织2000多人参加杭州、绍兴、宁波、金华等地线上线下招聘会。</w:t>
      </w:r>
    </w:p>
    <w:p>
      <w:pPr>
        <w:pStyle w:val="33"/>
        <w:ind w:firstLine="640"/>
        <w:rPr>
          <w:rFonts w:ascii="仿宋_GB2312" w:hAnsi="仿宋_GB2312" w:eastAsia="仿宋_GB2312" w:cs="仿宋_GB2312"/>
          <w:b w:val="0"/>
          <w:color w:val="auto"/>
          <w:kern w:val="0"/>
        </w:rPr>
      </w:pPr>
      <w:r>
        <w:rPr>
          <w:rFonts w:hint="eastAsia" w:ascii="仿宋_GB2312" w:hAnsi="仿宋_GB2312" w:eastAsia="仿宋_GB2312" w:cs="仿宋_GB2312"/>
          <w:b w:val="0"/>
          <w:color w:val="auto"/>
          <w:kern w:val="0"/>
        </w:rPr>
        <w:t xml:space="preserve">深化精细服务，打造精准高效的就业服务。学校以数字校园建设为统领，优化就业服务，通过网络、邮递方式实现就业服务一次都不用跑，让毕业生在家就可以完成就业手续办理。切实做好 2021、2022届毕业生生源信息采集上报、签约管理、就业方案编制上报、毕业派遣及档案转递工作；多渠道做好就业政策咨询答疑、就业手续办理和就业材料审核鉴证，提高就业管理服务的便捷性、精准性、实效性。分阶段调研、培训学院、学生就业工作，着力提升就业工作人员整体服务能力和服务水平。关心帮扶就业困难学生，校长通过“直播带岗”，向用人单位推荐毕业生；举办“阳光学子，浙商大助你上职场”家庭经济困难毕业生就业推荐活动；为319名家庭困难毕业生（含湖北生源）发放求职创业补贴95.7万元，为11名本科生发放技能证书培训补贴22000元；持续关注毕业未就业学生，做到学生离校不离心，全力确保有就业意向的学生“百分百帮扶、百分百就业”。 </w:t>
      </w:r>
    </w:p>
    <w:p>
      <w:pPr>
        <w:rPr>
          <w:color w:val="auto"/>
        </w:rPr>
      </w:pPr>
      <w:r>
        <w:rPr>
          <w:color w:val="auto"/>
        </w:rPr>
        <w:br w:type="page"/>
      </w:r>
    </w:p>
    <w:p>
      <w:pPr>
        <w:pStyle w:val="3"/>
        <w:rPr>
          <w:rStyle w:val="28"/>
          <w:color w:val="auto"/>
          <w:sz w:val="44"/>
          <w:szCs w:val="44"/>
        </w:rPr>
      </w:pPr>
      <w:bookmarkStart w:id="9" w:name="_Toc5262935"/>
      <w:bookmarkStart w:id="10" w:name="_Toc103345062"/>
      <w:r>
        <w:rPr>
          <w:rStyle w:val="28"/>
          <w:color w:val="auto"/>
          <w:sz w:val="44"/>
          <w:szCs w:val="44"/>
        </w:rPr>
        <w:t>2021</w:t>
      </w:r>
      <w:r>
        <w:rPr>
          <w:rStyle w:val="28"/>
          <w:rFonts w:hint="eastAsia"/>
          <w:color w:val="auto"/>
          <w:sz w:val="44"/>
          <w:szCs w:val="44"/>
        </w:rPr>
        <w:t>年继续教育学生招生工作</w:t>
      </w:r>
      <w:bookmarkEnd w:id="9"/>
      <w:r>
        <w:rPr>
          <w:rStyle w:val="28"/>
          <w:rFonts w:hint="eastAsia"/>
          <w:color w:val="auto"/>
          <w:sz w:val="44"/>
          <w:szCs w:val="44"/>
        </w:rPr>
        <w:t>情况</w:t>
      </w:r>
      <w:bookmarkEnd w:id="10"/>
    </w:p>
    <w:p>
      <w:pPr>
        <w:pStyle w:val="3"/>
        <w:rPr>
          <w:rStyle w:val="28"/>
          <w:color w:val="auto"/>
          <w:sz w:val="44"/>
          <w:szCs w:val="44"/>
        </w:rPr>
      </w:pPr>
      <w:bookmarkStart w:id="11" w:name="_Toc103345063"/>
      <w:bookmarkStart w:id="12" w:name="_Toc103343700"/>
      <w:r>
        <w:rPr>
          <w:rStyle w:val="28"/>
          <w:rFonts w:hint="eastAsia"/>
          <w:color w:val="auto"/>
          <w:sz w:val="44"/>
          <w:szCs w:val="44"/>
        </w:rPr>
        <w:t>公开报告</w:t>
      </w:r>
      <w:bookmarkEnd w:id="11"/>
      <w:bookmarkEnd w:id="12"/>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一、成人高等学历教育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640" w:firstLineChars="200"/>
        <w:rPr>
          <w:rFonts w:ascii="仿宋_GB2312" w:hAnsi="楷体" w:eastAsia="仿宋_GB2312" w:cs="楷体"/>
          <w:bCs/>
          <w:color w:val="auto"/>
          <w:sz w:val="32"/>
          <w:szCs w:val="32"/>
        </w:rPr>
      </w:pPr>
      <w:r>
        <w:rPr>
          <w:rFonts w:ascii="仿宋_GB2312" w:hAnsi="楷体" w:eastAsia="仿宋_GB2312" w:cs="楷体"/>
          <w:bCs/>
          <w:color w:val="auto"/>
          <w:sz w:val="32"/>
          <w:szCs w:val="32"/>
        </w:rPr>
        <w:t>成人</w:t>
      </w:r>
      <w:r>
        <w:rPr>
          <w:rFonts w:hint="eastAsia" w:ascii="仿宋_GB2312" w:hAnsi="楷体" w:eastAsia="仿宋_GB2312" w:cs="楷体"/>
          <w:bCs/>
          <w:color w:val="auto"/>
          <w:sz w:val="32"/>
          <w:szCs w:val="32"/>
        </w:rPr>
        <w:t>高等</w:t>
      </w:r>
      <w:r>
        <w:rPr>
          <w:rFonts w:ascii="仿宋_GB2312" w:hAnsi="楷体" w:eastAsia="仿宋_GB2312" w:cs="楷体"/>
          <w:bCs/>
          <w:color w:val="auto"/>
          <w:sz w:val="32"/>
          <w:szCs w:val="32"/>
        </w:rPr>
        <w:t>学历教育共设</w:t>
      </w:r>
      <w:r>
        <w:rPr>
          <w:rFonts w:hint="eastAsia" w:ascii="仿宋_GB2312" w:hAnsi="楷体" w:eastAsia="仿宋_GB2312" w:cs="楷体"/>
          <w:bCs/>
          <w:color w:val="auto"/>
          <w:sz w:val="32"/>
          <w:szCs w:val="32"/>
        </w:rPr>
        <w:t>有21</w:t>
      </w:r>
      <w:r>
        <w:rPr>
          <w:rFonts w:ascii="仿宋_GB2312" w:hAnsi="楷体" w:eastAsia="仿宋_GB2312" w:cs="楷体"/>
          <w:bCs/>
          <w:color w:val="auto"/>
          <w:sz w:val="32"/>
          <w:szCs w:val="32"/>
        </w:rPr>
        <w:t>个专业</w:t>
      </w:r>
      <w:r>
        <w:rPr>
          <w:rFonts w:hint="eastAsia" w:ascii="仿宋_GB2312" w:hAnsi="楷体" w:eastAsia="仿宋_GB2312" w:cs="楷体"/>
          <w:bCs/>
          <w:color w:val="auto"/>
          <w:sz w:val="32"/>
          <w:szCs w:val="32"/>
        </w:rPr>
        <w:t>（其中专科专业4个、专升本专业17个）和26个</w:t>
      </w:r>
      <w:r>
        <w:rPr>
          <w:rFonts w:ascii="仿宋_GB2312" w:hAnsi="楷体" w:eastAsia="仿宋_GB2312" w:cs="楷体"/>
          <w:bCs/>
          <w:color w:val="auto"/>
          <w:sz w:val="32"/>
          <w:szCs w:val="32"/>
        </w:rPr>
        <w:t>函授站</w:t>
      </w:r>
      <w:r>
        <w:rPr>
          <w:rFonts w:hint="eastAsia" w:ascii="仿宋_GB2312" w:hAnsi="楷体" w:eastAsia="仿宋_GB2312" w:cs="楷体"/>
          <w:bCs/>
          <w:color w:val="auto"/>
          <w:sz w:val="32"/>
          <w:szCs w:val="32"/>
        </w:rPr>
        <w:t>、</w:t>
      </w:r>
      <w:r>
        <w:rPr>
          <w:rFonts w:ascii="仿宋_GB2312" w:hAnsi="楷体" w:eastAsia="仿宋_GB2312" w:cs="楷体"/>
          <w:bCs/>
          <w:color w:val="auto"/>
          <w:sz w:val="32"/>
          <w:szCs w:val="32"/>
        </w:rPr>
        <w:t>教学点</w:t>
      </w:r>
      <w:r>
        <w:rPr>
          <w:rFonts w:hint="eastAsia" w:ascii="仿宋_GB2312" w:hAnsi="楷体" w:eastAsia="仿宋_GB2312" w:cs="楷体"/>
          <w:bCs/>
          <w:color w:val="auto"/>
          <w:sz w:val="32"/>
          <w:szCs w:val="32"/>
        </w:rPr>
        <w:t>（</w:t>
      </w:r>
      <w:r>
        <w:rPr>
          <w:rFonts w:ascii="仿宋_GB2312" w:hAnsi="楷体" w:eastAsia="仿宋_GB2312" w:cs="楷体"/>
          <w:bCs/>
          <w:color w:val="auto"/>
          <w:sz w:val="32"/>
          <w:szCs w:val="32"/>
        </w:rPr>
        <w:t>其中</w:t>
      </w:r>
      <w:r>
        <w:rPr>
          <w:rFonts w:hint="eastAsia" w:ascii="仿宋_GB2312" w:hAnsi="楷体" w:eastAsia="仿宋_GB2312" w:cs="楷体"/>
          <w:bCs/>
          <w:color w:val="auto"/>
          <w:sz w:val="32"/>
          <w:szCs w:val="32"/>
        </w:rPr>
        <w:t>浙江</w:t>
      </w:r>
      <w:r>
        <w:rPr>
          <w:rFonts w:ascii="仿宋_GB2312" w:hAnsi="楷体" w:eastAsia="仿宋_GB2312" w:cs="楷体"/>
          <w:bCs/>
          <w:color w:val="auto"/>
          <w:sz w:val="32"/>
          <w:szCs w:val="32"/>
        </w:rPr>
        <w:t>省</w:t>
      </w:r>
      <w:r>
        <w:rPr>
          <w:rFonts w:hint="eastAsia" w:ascii="仿宋_GB2312" w:hAnsi="楷体" w:eastAsia="仿宋_GB2312" w:cs="楷体"/>
          <w:bCs/>
          <w:color w:val="auto"/>
          <w:sz w:val="32"/>
          <w:szCs w:val="32"/>
        </w:rPr>
        <w:t>内25个，</w:t>
      </w:r>
      <w:r>
        <w:rPr>
          <w:rFonts w:ascii="仿宋_GB2312" w:hAnsi="楷体" w:eastAsia="仿宋_GB2312" w:cs="楷体"/>
          <w:bCs/>
          <w:color w:val="auto"/>
          <w:sz w:val="32"/>
          <w:szCs w:val="32"/>
        </w:rPr>
        <w:t>省外</w:t>
      </w:r>
      <w:r>
        <w:rPr>
          <w:rFonts w:hint="eastAsia" w:ascii="仿宋_GB2312" w:hAnsi="楷体" w:eastAsia="仿宋_GB2312" w:cs="楷体"/>
          <w:bCs/>
          <w:color w:val="auto"/>
          <w:sz w:val="32"/>
          <w:szCs w:val="32"/>
        </w:rPr>
        <w:t>1</w:t>
      </w:r>
      <w:r>
        <w:rPr>
          <w:rFonts w:ascii="仿宋_GB2312" w:hAnsi="楷体" w:eastAsia="仿宋_GB2312" w:cs="楷体"/>
          <w:bCs/>
          <w:color w:val="auto"/>
          <w:sz w:val="32"/>
          <w:szCs w:val="32"/>
        </w:rPr>
        <w:t>个</w:t>
      </w:r>
      <w:r>
        <w:rPr>
          <w:rFonts w:hint="eastAsia" w:ascii="仿宋_GB2312" w:hAnsi="楷体" w:eastAsia="仿宋_GB2312" w:cs="楷体"/>
          <w:bCs/>
          <w:color w:val="auto"/>
          <w:sz w:val="32"/>
          <w:szCs w:val="32"/>
        </w:rPr>
        <w:t>）；有</w:t>
      </w:r>
      <w:r>
        <w:rPr>
          <w:rFonts w:ascii="仿宋_GB2312" w:hAnsi="楷体" w:eastAsia="仿宋_GB2312" w:cs="楷体"/>
          <w:bCs/>
          <w:color w:val="auto"/>
          <w:sz w:val="32"/>
          <w:szCs w:val="32"/>
        </w:rPr>
        <w:t>在校生</w:t>
      </w:r>
      <w:r>
        <w:rPr>
          <w:rFonts w:hint="eastAsia" w:ascii="仿宋_GB2312" w:hAnsi="楷体" w:eastAsia="仿宋_GB2312" w:cs="楷体"/>
          <w:bCs/>
          <w:color w:val="auto"/>
          <w:sz w:val="32"/>
          <w:szCs w:val="32"/>
        </w:rPr>
        <w:t>29516</w:t>
      </w:r>
      <w:r>
        <w:rPr>
          <w:rFonts w:ascii="仿宋_GB2312" w:hAnsi="楷体" w:eastAsia="仿宋_GB2312" w:cs="楷体"/>
          <w:bCs/>
          <w:color w:val="auto"/>
          <w:sz w:val="32"/>
          <w:szCs w:val="32"/>
        </w:rPr>
        <w:t>人，其中</w:t>
      </w:r>
      <w:r>
        <w:rPr>
          <w:rFonts w:hint="eastAsia" w:ascii="仿宋_GB2312" w:hAnsi="楷体" w:eastAsia="仿宋_GB2312" w:cs="楷体"/>
          <w:bCs/>
          <w:color w:val="auto"/>
          <w:sz w:val="32"/>
          <w:szCs w:val="32"/>
        </w:rPr>
        <w:t>本科</w:t>
      </w:r>
      <w:r>
        <w:rPr>
          <w:rFonts w:ascii="仿宋_GB2312" w:hAnsi="楷体" w:eastAsia="仿宋_GB2312" w:cs="楷体"/>
          <w:bCs/>
          <w:color w:val="auto"/>
          <w:sz w:val="32"/>
          <w:szCs w:val="32"/>
        </w:rPr>
        <w:t>学生</w:t>
      </w:r>
      <w:r>
        <w:rPr>
          <w:rFonts w:hint="eastAsia" w:ascii="仿宋_GB2312" w:hAnsi="楷体" w:eastAsia="仿宋_GB2312" w:cs="楷体"/>
          <w:bCs/>
          <w:color w:val="auto"/>
          <w:sz w:val="32"/>
          <w:szCs w:val="32"/>
        </w:rPr>
        <w:t>28208</w:t>
      </w:r>
      <w:r>
        <w:rPr>
          <w:rFonts w:ascii="仿宋_GB2312" w:hAnsi="楷体" w:eastAsia="仿宋_GB2312" w:cs="楷体"/>
          <w:bCs/>
          <w:color w:val="auto"/>
          <w:sz w:val="32"/>
          <w:szCs w:val="32"/>
        </w:rPr>
        <w:t>人</w:t>
      </w:r>
      <w:r>
        <w:rPr>
          <w:rFonts w:hint="eastAsia" w:ascii="仿宋_GB2312" w:hAnsi="楷体" w:eastAsia="仿宋_GB2312" w:cs="楷体"/>
          <w:bCs/>
          <w:color w:val="auto"/>
          <w:sz w:val="32"/>
          <w:szCs w:val="32"/>
        </w:rPr>
        <w:t>，专科</w:t>
      </w:r>
      <w:r>
        <w:rPr>
          <w:rFonts w:ascii="仿宋_GB2312" w:hAnsi="楷体" w:eastAsia="仿宋_GB2312" w:cs="楷体"/>
          <w:bCs/>
          <w:color w:val="auto"/>
          <w:sz w:val="32"/>
          <w:szCs w:val="32"/>
        </w:rPr>
        <w:t>学生</w:t>
      </w:r>
      <w:r>
        <w:rPr>
          <w:rFonts w:hint="eastAsia" w:ascii="仿宋_GB2312" w:hAnsi="楷体" w:eastAsia="仿宋_GB2312" w:cs="楷体"/>
          <w:bCs/>
          <w:color w:val="auto"/>
          <w:sz w:val="32"/>
          <w:szCs w:val="32"/>
        </w:rPr>
        <w:t>1308</w:t>
      </w:r>
      <w:r>
        <w:rPr>
          <w:rFonts w:ascii="仿宋_GB2312" w:hAnsi="楷体" w:eastAsia="仿宋_GB2312" w:cs="楷体"/>
          <w:bCs/>
          <w:color w:val="auto"/>
          <w:sz w:val="32"/>
          <w:szCs w:val="32"/>
        </w:rPr>
        <w:t>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640" w:firstLineChars="200"/>
        <w:rPr>
          <w:rFonts w:ascii="仿宋_GB2312" w:hAnsi="楷体" w:eastAsia="仿宋_GB2312" w:cs="楷体"/>
          <w:bCs/>
          <w:color w:val="auto"/>
          <w:sz w:val="32"/>
          <w:szCs w:val="32"/>
        </w:rPr>
      </w:pPr>
      <w:r>
        <w:rPr>
          <w:rFonts w:hint="eastAsia" w:ascii="仿宋_GB2312" w:hAnsi="楷体" w:eastAsia="仿宋_GB2312" w:cs="楷体"/>
          <w:bCs/>
          <w:color w:val="auto"/>
          <w:sz w:val="32"/>
          <w:szCs w:val="32"/>
        </w:rPr>
        <w:t>2021</w:t>
      </w:r>
      <w:r>
        <w:rPr>
          <w:rFonts w:ascii="仿宋_GB2312" w:hAnsi="楷体" w:eastAsia="仿宋_GB2312" w:cs="楷体"/>
          <w:bCs/>
          <w:color w:val="auto"/>
          <w:sz w:val="32"/>
          <w:szCs w:val="32"/>
        </w:rPr>
        <w:t>年</w:t>
      </w:r>
      <w:r>
        <w:rPr>
          <w:rFonts w:hint="eastAsia" w:ascii="仿宋_GB2312" w:hAnsi="楷体" w:eastAsia="仿宋_GB2312" w:cs="楷体"/>
          <w:bCs/>
          <w:color w:val="auto"/>
          <w:sz w:val="32"/>
          <w:szCs w:val="32"/>
        </w:rPr>
        <w:t>起，学校停止专科层次的招生</w:t>
      </w:r>
      <w:r>
        <w:rPr>
          <w:rFonts w:ascii="仿宋_GB2312" w:hAnsi="楷体" w:eastAsia="仿宋_GB2312" w:cs="楷体"/>
          <w:bCs/>
          <w:color w:val="auto"/>
          <w:sz w:val="32"/>
          <w:szCs w:val="32"/>
        </w:rPr>
        <w:t>，</w:t>
      </w:r>
      <w:r>
        <w:rPr>
          <w:rFonts w:hint="eastAsia" w:ascii="仿宋_GB2312" w:hAnsi="楷体" w:eastAsia="仿宋_GB2312" w:cs="楷体"/>
          <w:bCs/>
          <w:color w:val="auto"/>
          <w:sz w:val="32"/>
          <w:szCs w:val="32"/>
        </w:rPr>
        <w:t>实现了本科层次学生录取率100%的目标；共</w:t>
      </w:r>
      <w:r>
        <w:rPr>
          <w:rFonts w:ascii="仿宋_GB2312" w:hAnsi="楷体" w:eastAsia="仿宋_GB2312" w:cs="楷体"/>
          <w:bCs/>
          <w:color w:val="auto"/>
          <w:sz w:val="32"/>
          <w:szCs w:val="32"/>
        </w:rPr>
        <w:t>录取</w:t>
      </w:r>
      <w:r>
        <w:rPr>
          <w:rFonts w:hint="eastAsia" w:ascii="仿宋_GB2312" w:hAnsi="楷体" w:eastAsia="仿宋_GB2312" w:cs="楷体"/>
          <w:bCs/>
          <w:color w:val="auto"/>
          <w:sz w:val="32"/>
          <w:szCs w:val="32"/>
        </w:rPr>
        <w:t>专升本层次</w:t>
      </w:r>
      <w:r>
        <w:rPr>
          <w:rFonts w:ascii="仿宋_GB2312" w:hAnsi="楷体" w:eastAsia="仿宋_GB2312" w:cs="楷体"/>
          <w:bCs/>
          <w:color w:val="auto"/>
          <w:sz w:val="32"/>
          <w:szCs w:val="32"/>
        </w:rPr>
        <w:t>新生</w:t>
      </w:r>
      <w:r>
        <w:rPr>
          <w:rFonts w:hint="eastAsia" w:ascii="仿宋_GB2312" w:hAnsi="楷体" w:eastAsia="仿宋_GB2312" w:cs="楷体"/>
          <w:bCs/>
          <w:color w:val="auto"/>
          <w:sz w:val="32"/>
          <w:szCs w:val="32"/>
        </w:rPr>
        <w:t>8522</w:t>
      </w:r>
      <w:r>
        <w:rPr>
          <w:rFonts w:ascii="仿宋_GB2312" w:hAnsi="楷体" w:eastAsia="仿宋_GB2312" w:cs="楷体"/>
          <w:bCs/>
          <w:color w:val="auto"/>
          <w:sz w:val="32"/>
          <w:szCs w:val="32"/>
        </w:rPr>
        <w:t>人</w:t>
      </w:r>
      <w:r>
        <w:rPr>
          <w:rFonts w:hint="eastAsia" w:ascii="仿宋_GB2312" w:hAnsi="楷体" w:eastAsia="仿宋_GB2312" w:cs="楷体"/>
          <w:bCs/>
          <w:color w:val="auto"/>
          <w:sz w:val="32"/>
          <w:szCs w:val="32"/>
        </w:rPr>
        <w:t>，专升本的招生数连续第4年列全省高校第一。</w:t>
      </w:r>
      <w:r>
        <w:rPr>
          <w:rFonts w:ascii="仿宋_GB2312" w:hAnsi="楷体" w:eastAsia="仿宋_GB2312" w:cs="楷体"/>
          <w:bCs/>
          <w:color w:val="auto"/>
          <w:sz w:val="32"/>
          <w:szCs w:val="32"/>
        </w:rPr>
        <w:t>20</w:t>
      </w:r>
      <w:r>
        <w:rPr>
          <w:rFonts w:hint="eastAsia" w:ascii="仿宋_GB2312" w:hAnsi="楷体" w:eastAsia="仿宋_GB2312" w:cs="楷体"/>
          <w:bCs/>
          <w:color w:val="auto"/>
          <w:sz w:val="32"/>
          <w:szCs w:val="32"/>
        </w:rPr>
        <w:t>21</w:t>
      </w:r>
      <w:r>
        <w:rPr>
          <w:rFonts w:ascii="仿宋_GB2312" w:hAnsi="楷体" w:eastAsia="仿宋_GB2312" w:cs="楷体"/>
          <w:bCs/>
          <w:color w:val="auto"/>
          <w:sz w:val="32"/>
          <w:szCs w:val="32"/>
        </w:rPr>
        <w:t>届毕业</w:t>
      </w:r>
      <w:r>
        <w:rPr>
          <w:rFonts w:hint="eastAsia" w:ascii="仿宋_GB2312" w:hAnsi="楷体" w:eastAsia="仿宋_GB2312" w:cs="楷体"/>
          <w:bCs/>
          <w:color w:val="auto"/>
          <w:sz w:val="32"/>
          <w:szCs w:val="32"/>
        </w:rPr>
        <w:t>学生8043</w:t>
      </w:r>
      <w:r>
        <w:rPr>
          <w:rFonts w:ascii="仿宋_GB2312" w:hAnsi="楷体" w:eastAsia="仿宋_GB2312" w:cs="楷体"/>
          <w:bCs/>
          <w:color w:val="auto"/>
          <w:sz w:val="32"/>
          <w:szCs w:val="32"/>
        </w:rPr>
        <w:t>人</w:t>
      </w:r>
      <w:r>
        <w:rPr>
          <w:rFonts w:hint="eastAsia" w:ascii="仿宋_GB2312" w:hAnsi="楷体" w:eastAsia="仿宋_GB2312" w:cs="楷体"/>
          <w:bCs/>
          <w:color w:val="auto"/>
          <w:sz w:val="32"/>
          <w:szCs w:val="32"/>
        </w:rPr>
        <w:t>，</w:t>
      </w:r>
      <w:r>
        <w:rPr>
          <w:rFonts w:ascii="仿宋_GB2312" w:hAnsi="楷体" w:eastAsia="仿宋_GB2312" w:cs="楷体"/>
          <w:bCs/>
          <w:color w:val="auto"/>
          <w:sz w:val="32"/>
          <w:szCs w:val="32"/>
        </w:rPr>
        <w:t>其中本科毕业生</w:t>
      </w:r>
      <w:r>
        <w:rPr>
          <w:rFonts w:hint="eastAsia" w:ascii="仿宋_GB2312" w:hAnsi="楷体" w:eastAsia="仿宋_GB2312" w:cs="楷体"/>
          <w:bCs/>
          <w:color w:val="auto"/>
          <w:sz w:val="32"/>
          <w:szCs w:val="32"/>
        </w:rPr>
        <w:t>5468</w:t>
      </w:r>
      <w:r>
        <w:rPr>
          <w:rFonts w:ascii="仿宋_GB2312" w:hAnsi="楷体" w:eastAsia="仿宋_GB2312" w:cs="楷体"/>
          <w:bCs/>
          <w:color w:val="auto"/>
          <w:sz w:val="32"/>
          <w:szCs w:val="32"/>
        </w:rPr>
        <w:t>人，专科毕业生</w:t>
      </w:r>
      <w:r>
        <w:rPr>
          <w:rFonts w:hint="eastAsia" w:ascii="仿宋_GB2312" w:hAnsi="楷体" w:eastAsia="仿宋_GB2312" w:cs="楷体"/>
          <w:bCs/>
          <w:color w:val="auto"/>
          <w:sz w:val="32"/>
          <w:szCs w:val="32"/>
        </w:rPr>
        <w:t>2575</w:t>
      </w:r>
      <w:r>
        <w:rPr>
          <w:rFonts w:ascii="仿宋_GB2312" w:hAnsi="楷体" w:eastAsia="仿宋_GB2312" w:cs="楷体"/>
          <w:bCs/>
          <w:color w:val="auto"/>
          <w:sz w:val="32"/>
          <w:szCs w:val="32"/>
        </w:rPr>
        <w:t>人</w:t>
      </w:r>
      <w:r>
        <w:rPr>
          <w:rFonts w:hint="eastAsia" w:ascii="仿宋_GB2312" w:hAnsi="楷体" w:eastAsia="仿宋_GB2312" w:cs="楷体"/>
          <w:bCs/>
          <w:color w:val="auto"/>
          <w:sz w:val="32"/>
          <w:szCs w:val="32"/>
        </w:rPr>
        <w:t>；本科毕业生中有1670</w:t>
      </w:r>
      <w:r>
        <w:rPr>
          <w:rFonts w:ascii="仿宋_GB2312" w:hAnsi="楷体" w:eastAsia="仿宋_GB2312" w:cs="楷体"/>
          <w:bCs/>
          <w:color w:val="auto"/>
          <w:sz w:val="32"/>
          <w:szCs w:val="32"/>
        </w:rPr>
        <w:t>人</w:t>
      </w:r>
      <w:r>
        <w:rPr>
          <w:rFonts w:hint="eastAsia" w:ascii="仿宋_GB2312" w:hAnsi="楷体" w:eastAsia="仿宋_GB2312" w:cs="楷体"/>
          <w:bCs/>
          <w:color w:val="auto"/>
          <w:sz w:val="32"/>
          <w:szCs w:val="32"/>
        </w:rPr>
        <w:t>被</w:t>
      </w:r>
      <w:r>
        <w:rPr>
          <w:rFonts w:ascii="仿宋_GB2312" w:hAnsi="楷体" w:eastAsia="仿宋_GB2312" w:cs="楷体"/>
          <w:bCs/>
          <w:color w:val="auto"/>
          <w:sz w:val="32"/>
          <w:szCs w:val="32"/>
        </w:rPr>
        <w:t>授予</w:t>
      </w:r>
      <w:r>
        <w:rPr>
          <w:rFonts w:hint="eastAsia" w:ascii="仿宋_GB2312" w:hAnsi="楷体" w:eastAsia="仿宋_GB2312" w:cs="楷体"/>
          <w:bCs/>
          <w:color w:val="auto"/>
          <w:sz w:val="32"/>
          <w:szCs w:val="32"/>
        </w:rPr>
        <w:t>了</w:t>
      </w:r>
      <w:r>
        <w:rPr>
          <w:rFonts w:ascii="仿宋_GB2312" w:hAnsi="楷体" w:eastAsia="仿宋_GB2312" w:cs="楷体"/>
          <w:bCs/>
          <w:color w:val="auto"/>
          <w:sz w:val="32"/>
          <w:szCs w:val="32"/>
        </w:rPr>
        <w:t>学士学位。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640" w:firstLineChars="200"/>
        <w:rPr>
          <w:rFonts w:ascii="仿宋_GB2312" w:hAnsi="楷体" w:eastAsia="仿宋_GB2312" w:cs="楷体"/>
          <w:bCs/>
          <w:color w:val="auto"/>
          <w:sz w:val="32"/>
          <w:szCs w:val="32"/>
        </w:rPr>
      </w:pPr>
      <w:r>
        <w:rPr>
          <w:rFonts w:ascii="仿宋_GB2312" w:hAnsi="楷体" w:eastAsia="仿宋_GB2312" w:cs="楷体"/>
          <w:bCs/>
          <w:color w:val="auto"/>
          <w:sz w:val="32"/>
          <w:szCs w:val="32"/>
        </w:rPr>
        <w:t>成人</w:t>
      </w:r>
      <w:r>
        <w:rPr>
          <w:rFonts w:hint="eastAsia" w:ascii="仿宋_GB2312" w:hAnsi="楷体" w:eastAsia="仿宋_GB2312" w:cs="楷体"/>
          <w:bCs/>
          <w:color w:val="auto"/>
          <w:sz w:val="32"/>
          <w:szCs w:val="32"/>
        </w:rPr>
        <w:t>高等</w:t>
      </w:r>
      <w:r>
        <w:rPr>
          <w:rFonts w:ascii="仿宋_GB2312" w:hAnsi="楷体" w:eastAsia="仿宋_GB2312" w:cs="楷体"/>
          <w:bCs/>
          <w:color w:val="auto"/>
          <w:sz w:val="32"/>
          <w:szCs w:val="32"/>
        </w:rPr>
        <w:t>学历</w:t>
      </w:r>
      <w:r>
        <w:rPr>
          <w:rFonts w:hint="eastAsia" w:ascii="仿宋_GB2312" w:hAnsi="楷体" w:eastAsia="仿宋_GB2312" w:cs="楷体"/>
          <w:bCs/>
          <w:color w:val="auto"/>
          <w:sz w:val="32"/>
          <w:szCs w:val="32"/>
        </w:rPr>
        <w:t>教育</w:t>
      </w:r>
      <w:r>
        <w:rPr>
          <w:rFonts w:ascii="仿宋_GB2312" w:hAnsi="楷体" w:eastAsia="仿宋_GB2312" w:cs="楷体"/>
          <w:bCs/>
          <w:color w:val="auto"/>
          <w:sz w:val="32"/>
          <w:szCs w:val="32"/>
        </w:rPr>
        <w:t>招生由继续教育学院根据社会发展需要</w:t>
      </w:r>
      <w:r>
        <w:rPr>
          <w:rFonts w:hint="eastAsia" w:ascii="仿宋_GB2312" w:hAnsi="楷体" w:eastAsia="仿宋_GB2312" w:cs="楷体"/>
          <w:bCs/>
          <w:color w:val="auto"/>
          <w:sz w:val="32"/>
          <w:szCs w:val="32"/>
        </w:rPr>
        <w:t>，结合学校优势特色专业设置等情况，向省教育厅预报各专业招生计划；省</w:t>
      </w:r>
      <w:r>
        <w:rPr>
          <w:rFonts w:ascii="仿宋_GB2312" w:hAnsi="楷体" w:eastAsia="仿宋_GB2312" w:cs="楷体"/>
          <w:bCs/>
          <w:color w:val="auto"/>
          <w:sz w:val="32"/>
          <w:szCs w:val="32"/>
        </w:rPr>
        <w:t>教育厅</w:t>
      </w:r>
      <w:r>
        <w:rPr>
          <w:rFonts w:hint="eastAsia" w:ascii="仿宋_GB2312" w:hAnsi="楷体" w:eastAsia="仿宋_GB2312" w:cs="楷体"/>
          <w:bCs/>
          <w:color w:val="auto"/>
          <w:sz w:val="32"/>
          <w:szCs w:val="32"/>
        </w:rPr>
        <w:t>则根据考生报考及学校办学资源等情况下达</w:t>
      </w:r>
      <w:r>
        <w:rPr>
          <w:rFonts w:ascii="仿宋_GB2312" w:hAnsi="楷体" w:eastAsia="仿宋_GB2312" w:cs="楷体"/>
          <w:bCs/>
          <w:color w:val="auto"/>
          <w:sz w:val="32"/>
          <w:szCs w:val="32"/>
        </w:rPr>
        <w:t>招生计划</w:t>
      </w:r>
      <w:r>
        <w:rPr>
          <w:rFonts w:hint="eastAsia" w:ascii="仿宋_GB2312" w:hAnsi="楷体" w:eastAsia="仿宋_GB2312" w:cs="楷体"/>
          <w:bCs/>
          <w:color w:val="auto"/>
          <w:sz w:val="32"/>
          <w:szCs w:val="32"/>
        </w:rPr>
        <w:t>。学校成人高等学历教育的</w:t>
      </w:r>
      <w:r>
        <w:rPr>
          <w:rFonts w:ascii="仿宋_GB2312" w:hAnsi="楷体" w:eastAsia="仿宋_GB2312" w:cs="楷体"/>
          <w:bCs/>
          <w:color w:val="auto"/>
          <w:sz w:val="32"/>
          <w:szCs w:val="32"/>
        </w:rPr>
        <w:t>招生简章</w:t>
      </w:r>
      <w:r>
        <w:rPr>
          <w:rFonts w:hint="eastAsia" w:ascii="仿宋_GB2312" w:hAnsi="楷体" w:eastAsia="仿宋_GB2312" w:cs="楷体"/>
          <w:bCs/>
          <w:color w:val="auto"/>
          <w:sz w:val="32"/>
          <w:szCs w:val="32"/>
        </w:rPr>
        <w:t>、录取原则等</w:t>
      </w:r>
      <w:r>
        <w:rPr>
          <w:rFonts w:ascii="仿宋_GB2312" w:hAnsi="楷体" w:eastAsia="仿宋_GB2312" w:cs="楷体"/>
          <w:bCs/>
          <w:color w:val="auto"/>
          <w:sz w:val="32"/>
          <w:szCs w:val="32"/>
        </w:rPr>
        <w:t>通过网站、各函授站点、广告媒介等向社会</w:t>
      </w:r>
      <w:r>
        <w:rPr>
          <w:rFonts w:hint="eastAsia" w:ascii="仿宋_GB2312" w:hAnsi="楷体" w:eastAsia="仿宋_GB2312" w:cs="楷体"/>
          <w:bCs/>
          <w:color w:val="auto"/>
          <w:sz w:val="32"/>
          <w:szCs w:val="32"/>
        </w:rPr>
        <w:t>公开；招生录取严格</w:t>
      </w:r>
      <w:r>
        <w:rPr>
          <w:rFonts w:ascii="仿宋_GB2312" w:hAnsi="楷体" w:eastAsia="仿宋_GB2312" w:cs="楷体"/>
          <w:bCs/>
          <w:color w:val="auto"/>
          <w:sz w:val="32"/>
          <w:szCs w:val="32"/>
        </w:rPr>
        <w:t>按照省教育考试院的规定</w:t>
      </w:r>
      <w:r>
        <w:rPr>
          <w:rFonts w:hint="eastAsia" w:ascii="仿宋_GB2312" w:hAnsi="楷体" w:eastAsia="仿宋_GB2312" w:cs="楷体"/>
          <w:bCs/>
          <w:color w:val="auto"/>
          <w:sz w:val="32"/>
          <w:szCs w:val="32"/>
        </w:rPr>
        <w:t>在</w:t>
      </w:r>
      <w:r>
        <w:rPr>
          <w:rFonts w:ascii="仿宋_GB2312" w:hAnsi="楷体" w:eastAsia="仿宋_GB2312" w:cs="楷体"/>
          <w:bCs/>
          <w:color w:val="auto"/>
          <w:sz w:val="32"/>
          <w:szCs w:val="32"/>
        </w:rPr>
        <w:t>网上</w:t>
      </w:r>
      <w:r>
        <w:rPr>
          <w:rFonts w:hint="eastAsia" w:ascii="仿宋_GB2312" w:hAnsi="楷体" w:eastAsia="仿宋_GB2312" w:cs="楷体"/>
          <w:bCs/>
          <w:color w:val="auto"/>
          <w:sz w:val="32"/>
          <w:szCs w:val="32"/>
        </w:rPr>
        <w:t>进行；录取结果</w:t>
      </w:r>
      <w:r>
        <w:rPr>
          <w:rFonts w:ascii="仿宋_GB2312" w:hAnsi="楷体" w:eastAsia="仿宋_GB2312" w:cs="楷体"/>
          <w:bCs/>
          <w:color w:val="auto"/>
          <w:sz w:val="32"/>
          <w:szCs w:val="32"/>
        </w:rPr>
        <w:t>通过</w:t>
      </w:r>
      <w:r>
        <w:rPr>
          <w:rFonts w:hint="eastAsia" w:ascii="仿宋_GB2312" w:hAnsi="楷体" w:eastAsia="仿宋_GB2312" w:cs="楷体"/>
          <w:bCs/>
          <w:color w:val="auto"/>
          <w:sz w:val="32"/>
          <w:szCs w:val="32"/>
        </w:rPr>
        <w:t>继续教育学院网站依法及时为考生提供查询</w:t>
      </w:r>
      <w:r>
        <w:rPr>
          <w:rFonts w:ascii="仿宋_GB2312" w:hAnsi="楷体" w:eastAsia="仿宋_GB2312" w:cs="楷体"/>
          <w:bCs/>
          <w:color w:val="auto"/>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640" w:firstLineChars="200"/>
        <w:rPr>
          <w:rFonts w:ascii="仿宋_GB2312" w:hAnsi="楷体" w:eastAsia="仿宋_GB2312" w:cs="楷体"/>
          <w:bCs/>
          <w:color w:val="auto"/>
          <w:sz w:val="32"/>
          <w:szCs w:val="32"/>
        </w:rPr>
      </w:pPr>
      <w:r>
        <w:rPr>
          <w:rFonts w:hint="eastAsia" w:ascii="仿宋_GB2312" w:hAnsi="楷体" w:eastAsia="仿宋_GB2312" w:cs="楷体"/>
          <w:bCs/>
          <w:color w:val="auto"/>
          <w:sz w:val="32"/>
          <w:szCs w:val="32"/>
        </w:rPr>
        <w:t>学校参加浙江省和杭州市总工会资助优秀外来务工人员上大学活动，为外来务工人员成长成才提供有效载体。</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二、高等教育自学考试助学工作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640" w:firstLineChars="200"/>
        <w:rPr>
          <w:rFonts w:ascii="仿宋_GB2312" w:hAnsi="楷体" w:eastAsia="仿宋_GB2312" w:cs="楷体"/>
          <w:bCs/>
          <w:color w:val="auto"/>
          <w:sz w:val="32"/>
          <w:szCs w:val="32"/>
        </w:rPr>
      </w:pPr>
      <w:r>
        <w:rPr>
          <w:rFonts w:ascii="仿宋_GB2312" w:hAnsi="楷体" w:eastAsia="仿宋_GB2312" w:cs="楷体"/>
          <w:bCs/>
          <w:color w:val="auto"/>
          <w:sz w:val="32"/>
          <w:szCs w:val="32"/>
        </w:rPr>
        <w:t>20</w:t>
      </w:r>
      <w:r>
        <w:rPr>
          <w:rFonts w:hint="eastAsia" w:ascii="仿宋_GB2312" w:hAnsi="楷体" w:eastAsia="仿宋_GB2312" w:cs="楷体"/>
          <w:bCs/>
          <w:color w:val="auto"/>
          <w:sz w:val="32"/>
          <w:szCs w:val="32"/>
        </w:rPr>
        <w:t>21</w:t>
      </w:r>
      <w:r>
        <w:rPr>
          <w:rFonts w:ascii="仿宋_GB2312" w:hAnsi="楷体" w:eastAsia="仿宋_GB2312" w:cs="楷体"/>
          <w:bCs/>
          <w:color w:val="auto"/>
          <w:sz w:val="32"/>
          <w:szCs w:val="32"/>
        </w:rPr>
        <w:t>年</w:t>
      </w:r>
      <w:r>
        <w:rPr>
          <w:rFonts w:hint="eastAsia" w:ascii="仿宋_GB2312" w:hAnsi="楷体" w:eastAsia="仿宋_GB2312" w:cs="楷体"/>
          <w:bCs/>
          <w:color w:val="auto"/>
          <w:sz w:val="32"/>
          <w:szCs w:val="32"/>
        </w:rPr>
        <w:t>，共开设高等教育自学考试全日制和业余助学专业5个，</w:t>
      </w:r>
      <w:r>
        <w:rPr>
          <w:rFonts w:ascii="仿宋_GB2312" w:hAnsi="楷体" w:eastAsia="仿宋_GB2312" w:cs="楷体"/>
          <w:bCs/>
          <w:color w:val="auto"/>
          <w:sz w:val="32"/>
          <w:szCs w:val="32"/>
        </w:rPr>
        <w:t>招收新生</w:t>
      </w:r>
      <w:r>
        <w:rPr>
          <w:rFonts w:hint="eastAsia" w:ascii="仿宋_GB2312" w:hAnsi="楷体" w:eastAsia="仿宋_GB2312" w:cs="楷体"/>
          <w:bCs/>
          <w:color w:val="auto"/>
          <w:sz w:val="32"/>
          <w:szCs w:val="32"/>
        </w:rPr>
        <w:t>195</w:t>
      </w:r>
      <w:r>
        <w:rPr>
          <w:rFonts w:ascii="仿宋_GB2312" w:hAnsi="楷体" w:eastAsia="仿宋_GB2312" w:cs="楷体"/>
          <w:bCs/>
          <w:color w:val="auto"/>
          <w:sz w:val="32"/>
          <w:szCs w:val="32"/>
        </w:rPr>
        <w:t>人，在校生</w:t>
      </w:r>
      <w:r>
        <w:rPr>
          <w:rFonts w:hint="eastAsia" w:ascii="仿宋_GB2312" w:hAnsi="楷体" w:eastAsia="仿宋_GB2312" w:cs="楷体"/>
          <w:bCs/>
          <w:color w:val="auto"/>
          <w:sz w:val="32"/>
          <w:szCs w:val="32"/>
        </w:rPr>
        <w:t>670余</w:t>
      </w:r>
      <w:r>
        <w:rPr>
          <w:rFonts w:ascii="仿宋_GB2312" w:hAnsi="楷体" w:eastAsia="仿宋_GB2312" w:cs="楷体"/>
          <w:bCs/>
          <w:color w:val="auto"/>
          <w:sz w:val="32"/>
          <w:szCs w:val="32"/>
        </w:rPr>
        <w:t>人。招生</w:t>
      </w:r>
      <w:r>
        <w:rPr>
          <w:rFonts w:hint="eastAsia" w:ascii="仿宋_GB2312" w:hAnsi="楷体" w:eastAsia="仿宋_GB2312" w:cs="楷体"/>
          <w:bCs/>
          <w:color w:val="auto"/>
          <w:sz w:val="32"/>
          <w:szCs w:val="32"/>
        </w:rPr>
        <w:t>计划</w:t>
      </w:r>
      <w:r>
        <w:rPr>
          <w:rFonts w:ascii="仿宋_GB2312" w:hAnsi="楷体" w:eastAsia="仿宋_GB2312" w:cs="楷体"/>
          <w:bCs/>
          <w:color w:val="auto"/>
          <w:sz w:val="32"/>
          <w:szCs w:val="32"/>
        </w:rPr>
        <w:t>由继续教育学院根据学校办学资源向省教育考试院申报，经省教育考试院批准</w:t>
      </w:r>
      <w:r>
        <w:rPr>
          <w:rFonts w:hint="eastAsia" w:ascii="仿宋_GB2312" w:hAnsi="楷体" w:eastAsia="仿宋_GB2312" w:cs="楷体"/>
          <w:bCs/>
          <w:color w:val="auto"/>
          <w:sz w:val="32"/>
          <w:szCs w:val="32"/>
        </w:rPr>
        <w:t>后实施</w:t>
      </w:r>
      <w:r>
        <w:rPr>
          <w:rFonts w:ascii="仿宋_GB2312" w:hAnsi="楷体" w:eastAsia="仿宋_GB2312" w:cs="楷体"/>
          <w:bCs/>
          <w:color w:val="auto"/>
          <w:sz w:val="32"/>
          <w:szCs w:val="32"/>
        </w:rPr>
        <w:t>；招生简章</w:t>
      </w:r>
      <w:r>
        <w:rPr>
          <w:rFonts w:hint="eastAsia" w:ascii="仿宋_GB2312" w:hAnsi="楷体" w:eastAsia="仿宋_GB2312" w:cs="楷体"/>
          <w:bCs/>
          <w:color w:val="auto"/>
          <w:sz w:val="32"/>
          <w:szCs w:val="32"/>
        </w:rPr>
        <w:t>等招生宣传材料均报</w:t>
      </w:r>
      <w:r>
        <w:rPr>
          <w:rFonts w:ascii="仿宋_GB2312" w:hAnsi="楷体" w:eastAsia="仿宋_GB2312" w:cs="楷体"/>
          <w:bCs/>
          <w:color w:val="auto"/>
          <w:sz w:val="32"/>
          <w:szCs w:val="32"/>
        </w:rPr>
        <w:t>省教育考试院</w:t>
      </w:r>
      <w:r>
        <w:rPr>
          <w:rFonts w:hint="eastAsia" w:ascii="仿宋_GB2312" w:hAnsi="楷体" w:eastAsia="仿宋_GB2312" w:cs="楷体"/>
          <w:bCs/>
          <w:color w:val="auto"/>
          <w:sz w:val="32"/>
          <w:szCs w:val="32"/>
        </w:rPr>
        <w:t>备案、</w:t>
      </w:r>
      <w:r>
        <w:rPr>
          <w:rFonts w:ascii="仿宋_GB2312" w:hAnsi="楷体" w:eastAsia="仿宋_GB2312" w:cs="楷体"/>
          <w:bCs/>
          <w:color w:val="auto"/>
          <w:sz w:val="32"/>
          <w:szCs w:val="32"/>
        </w:rPr>
        <w:t>审定后</w:t>
      </w:r>
      <w:r>
        <w:rPr>
          <w:rFonts w:hint="eastAsia" w:ascii="仿宋_GB2312" w:hAnsi="楷体" w:eastAsia="仿宋_GB2312" w:cs="楷体"/>
          <w:bCs/>
          <w:color w:val="auto"/>
          <w:sz w:val="32"/>
          <w:szCs w:val="32"/>
        </w:rPr>
        <w:t>，</w:t>
      </w:r>
      <w:r>
        <w:rPr>
          <w:rFonts w:ascii="仿宋_GB2312" w:hAnsi="楷体" w:eastAsia="仿宋_GB2312" w:cs="楷体"/>
          <w:bCs/>
          <w:color w:val="auto"/>
          <w:sz w:val="32"/>
          <w:szCs w:val="32"/>
        </w:rPr>
        <w:t>通过</w:t>
      </w:r>
      <w:r>
        <w:rPr>
          <w:rFonts w:hint="eastAsia" w:ascii="仿宋_GB2312" w:hAnsi="楷体" w:eastAsia="仿宋_GB2312" w:cs="楷体"/>
          <w:bCs/>
          <w:color w:val="auto"/>
          <w:sz w:val="32"/>
          <w:szCs w:val="32"/>
        </w:rPr>
        <w:t>学院网站</w:t>
      </w:r>
      <w:r>
        <w:rPr>
          <w:rFonts w:ascii="仿宋_GB2312" w:hAnsi="楷体" w:eastAsia="仿宋_GB2312" w:cs="楷体"/>
          <w:bCs/>
          <w:color w:val="auto"/>
          <w:sz w:val="32"/>
          <w:szCs w:val="32"/>
        </w:rPr>
        <w:t>、广告媒介</w:t>
      </w:r>
      <w:r>
        <w:rPr>
          <w:rFonts w:hint="eastAsia" w:ascii="仿宋_GB2312" w:hAnsi="楷体" w:eastAsia="仿宋_GB2312" w:cs="楷体"/>
          <w:bCs/>
          <w:color w:val="auto"/>
          <w:sz w:val="32"/>
          <w:szCs w:val="32"/>
        </w:rPr>
        <w:t>、印发纸质材料等</w:t>
      </w:r>
      <w:r>
        <w:rPr>
          <w:rFonts w:ascii="仿宋_GB2312" w:hAnsi="楷体" w:eastAsia="仿宋_GB2312" w:cs="楷体"/>
          <w:bCs/>
          <w:color w:val="auto"/>
          <w:sz w:val="32"/>
          <w:szCs w:val="32"/>
        </w:rPr>
        <w:t>向社会公开。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640" w:firstLineChars="200"/>
        <w:rPr>
          <w:rFonts w:ascii="仿宋_GB2312" w:hAnsi="楷体" w:eastAsia="仿宋_GB2312" w:cs="楷体"/>
          <w:bCs/>
          <w:color w:val="auto"/>
          <w:sz w:val="32"/>
          <w:szCs w:val="32"/>
        </w:rPr>
      </w:pPr>
      <w:r>
        <w:rPr>
          <w:rFonts w:ascii="仿宋_GB2312" w:hAnsi="楷体" w:eastAsia="仿宋_GB2312" w:cs="楷体"/>
          <w:bCs/>
          <w:color w:val="auto"/>
          <w:sz w:val="32"/>
          <w:szCs w:val="32"/>
        </w:rPr>
        <w:t>此外，</w:t>
      </w:r>
      <w:r>
        <w:rPr>
          <w:rFonts w:hint="eastAsia" w:ascii="仿宋_GB2312" w:hAnsi="楷体" w:eastAsia="仿宋_GB2312" w:cs="楷体"/>
          <w:bCs/>
          <w:color w:val="auto"/>
          <w:sz w:val="32"/>
          <w:szCs w:val="32"/>
        </w:rPr>
        <w:t>受疫情防控和全省高职院校、普通高校专升本扩招等影响，2021年高等教育自学考试专本衔接助学的招生和教学、管理等工作经受了极大的考验。通过扩大网络直播课程数量、加大网络宣传力度和颁发优秀学生奖学金等一系列措施，保证了正常的教育教学秩序，最大程度减少了生源的流失。全年共与21所</w:t>
      </w:r>
      <w:r>
        <w:rPr>
          <w:rFonts w:ascii="仿宋_GB2312" w:hAnsi="楷体" w:eastAsia="仿宋_GB2312" w:cs="楷体"/>
          <w:bCs/>
          <w:color w:val="auto"/>
          <w:sz w:val="32"/>
          <w:szCs w:val="32"/>
        </w:rPr>
        <w:t>高职（专科）院校</w:t>
      </w:r>
      <w:r>
        <w:rPr>
          <w:rFonts w:hint="eastAsia" w:ascii="仿宋_GB2312" w:hAnsi="楷体" w:eastAsia="仿宋_GB2312" w:cs="楷体"/>
          <w:bCs/>
          <w:color w:val="auto"/>
          <w:sz w:val="32"/>
          <w:szCs w:val="32"/>
        </w:rPr>
        <w:t>合作，开设了工商管理、企业财务管理、旅游管理和电子商务4</w:t>
      </w:r>
      <w:r>
        <w:rPr>
          <w:rFonts w:ascii="仿宋_GB2312" w:hAnsi="楷体" w:eastAsia="仿宋_GB2312" w:cs="楷体"/>
          <w:bCs/>
          <w:color w:val="auto"/>
          <w:sz w:val="32"/>
          <w:szCs w:val="32"/>
        </w:rPr>
        <w:t>个</w:t>
      </w:r>
      <w:r>
        <w:rPr>
          <w:rFonts w:hint="eastAsia" w:ascii="仿宋_GB2312" w:hAnsi="楷体" w:eastAsia="仿宋_GB2312" w:cs="楷体"/>
          <w:bCs/>
          <w:color w:val="auto"/>
          <w:sz w:val="32"/>
          <w:szCs w:val="32"/>
        </w:rPr>
        <w:t>专本衔接助学</w:t>
      </w:r>
      <w:r>
        <w:rPr>
          <w:rFonts w:ascii="仿宋_GB2312" w:hAnsi="楷体" w:eastAsia="仿宋_GB2312" w:cs="楷体"/>
          <w:bCs/>
          <w:color w:val="auto"/>
          <w:sz w:val="32"/>
          <w:szCs w:val="32"/>
        </w:rPr>
        <w:t>专业</w:t>
      </w:r>
      <w:r>
        <w:rPr>
          <w:rFonts w:hint="eastAsia" w:ascii="仿宋_GB2312" w:hAnsi="楷体" w:eastAsia="仿宋_GB2312" w:cs="楷体"/>
          <w:bCs/>
          <w:color w:val="auto"/>
          <w:sz w:val="32"/>
          <w:szCs w:val="32"/>
        </w:rPr>
        <w:t>，共有在读学生约10000人。</w:t>
      </w:r>
      <w:r>
        <w:rPr>
          <w:rFonts w:ascii="仿宋_GB2312" w:hAnsi="楷体" w:eastAsia="仿宋_GB2312" w:cs="楷体"/>
          <w:bCs/>
          <w:color w:val="auto"/>
          <w:sz w:val="32"/>
          <w:szCs w:val="32"/>
        </w:rPr>
        <w:t>“专本衔接”</w:t>
      </w:r>
      <w:r>
        <w:rPr>
          <w:rFonts w:hint="eastAsia" w:ascii="仿宋_GB2312" w:hAnsi="楷体" w:eastAsia="仿宋_GB2312" w:cs="楷体"/>
          <w:bCs/>
          <w:color w:val="auto"/>
          <w:sz w:val="32"/>
          <w:szCs w:val="32"/>
        </w:rPr>
        <w:t>助学</w:t>
      </w:r>
      <w:r>
        <w:rPr>
          <w:rFonts w:ascii="仿宋_GB2312" w:hAnsi="楷体" w:eastAsia="仿宋_GB2312" w:cs="楷体"/>
          <w:bCs/>
          <w:color w:val="auto"/>
          <w:sz w:val="32"/>
          <w:szCs w:val="32"/>
        </w:rPr>
        <w:t>招生</w:t>
      </w:r>
      <w:r>
        <w:rPr>
          <w:rFonts w:hint="eastAsia" w:ascii="仿宋_GB2312" w:hAnsi="楷体" w:eastAsia="仿宋_GB2312" w:cs="楷体"/>
          <w:bCs/>
          <w:color w:val="auto"/>
          <w:sz w:val="32"/>
          <w:szCs w:val="32"/>
        </w:rPr>
        <w:t>简章经省教育考试院核准后对外公布，并发放至各合作院校，招生</w:t>
      </w:r>
      <w:r>
        <w:rPr>
          <w:rFonts w:ascii="仿宋_GB2312" w:hAnsi="楷体" w:eastAsia="仿宋_GB2312" w:cs="楷体"/>
          <w:bCs/>
          <w:color w:val="auto"/>
          <w:sz w:val="32"/>
          <w:szCs w:val="32"/>
        </w:rPr>
        <w:t>工作由学生所在院校负责，学生自愿参加。</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三、非学历继续教育</w:t>
      </w:r>
    </w:p>
    <w:p>
      <w:pPr>
        <w:adjustRightInd w:val="0"/>
        <w:snapToGrid w:val="0"/>
        <w:spacing w:line="560" w:lineRule="exact"/>
        <w:ind w:firstLine="640" w:firstLineChars="200"/>
        <w:rPr>
          <w:rFonts w:ascii="仿宋_GB2312" w:hAnsi="楷体" w:eastAsia="仿宋_GB2312" w:cs="楷体"/>
          <w:bCs/>
          <w:color w:val="auto"/>
          <w:sz w:val="32"/>
          <w:szCs w:val="32"/>
        </w:rPr>
      </w:pPr>
      <w:r>
        <w:rPr>
          <w:rFonts w:hint="eastAsia" w:ascii="仿宋_GB2312" w:hAnsi="楷体" w:eastAsia="仿宋_GB2312" w:cs="楷体"/>
          <w:bCs/>
          <w:color w:val="auto"/>
          <w:sz w:val="32"/>
          <w:szCs w:val="32"/>
        </w:rPr>
        <w:t>2021年，非学历继续教育培训工作克服疫情防控等带来的不利影响，举办了各类培训班44期，培训学员2681人次。各类培训班办班通知通过继续教育学院网站向社会公开，同时，通过市场推广和公开竞标等方式积极拓展培训市场。</w:t>
      </w:r>
    </w:p>
    <w:p>
      <w:pPr>
        <w:rPr>
          <w:color w:val="auto"/>
        </w:rPr>
      </w:pPr>
      <w:r>
        <w:rPr>
          <w:color w:val="auto"/>
        </w:rPr>
        <w:br w:type="page"/>
      </w:r>
    </w:p>
    <w:p>
      <w:pPr>
        <w:pStyle w:val="3"/>
        <w:rPr>
          <w:color w:val="auto"/>
        </w:rPr>
      </w:pPr>
      <w:bookmarkStart w:id="13" w:name="_Toc103345064"/>
      <w:r>
        <w:rPr>
          <w:color w:val="auto"/>
        </w:rPr>
        <w:t>2021</w:t>
      </w:r>
      <w:r>
        <w:rPr>
          <w:rFonts w:hint="eastAsia"/>
          <w:color w:val="auto"/>
        </w:rPr>
        <w:t>年专业技术职务评审与评优活动工作</w:t>
      </w:r>
      <w:bookmarkEnd w:id="13"/>
    </w:p>
    <w:p>
      <w:pPr>
        <w:pStyle w:val="3"/>
        <w:rPr>
          <w:color w:val="auto"/>
        </w:rPr>
      </w:pPr>
      <w:bookmarkStart w:id="14" w:name="_Toc103343702"/>
      <w:bookmarkStart w:id="15" w:name="_Toc31638"/>
      <w:bookmarkStart w:id="16" w:name="_Toc103345065"/>
      <w:r>
        <w:rPr>
          <w:rFonts w:hint="eastAsia"/>
          <w:color w:val="auto"/>
        </w:rPr>
        <w:t>公开报告</w:t>
      </w:r>
      <w:bookmarkEnd w:id="14"/>
      <w:bookmarkEnd w:id="15"/>
      <w:bookmarkEnd w:id="16"/>
    </w:p>
    <w:p>
      <w:pPr>
        <w:pStyle w:val="33"/>
        <w:ind w:firstLine="640"/>
        <w:rPr>
          <w:rFonts w:ascii="黑体" w:hAnsi="黑体" w:eastAsia="黑体"/>
          <w:b w:val="0"/>
          <w:color w:val="auto"/>
        </w:rPr>
      </w:pPr>
      <w:bookmarkStart w:id="17" w:name="_Toc5089727"/>
      <w:r>
        <w:rPr>
          <w:rFonts w:hint="eastAsia" w:ascii="黑体" w:hAnsi="黑体" w:eastAsia="黑体"/>
          <w:b w:val="0"/>
          <w:color w:val="auto"/>
        </w:rPr>
        <w:t>一、基本情况</w:t>
      </w:r>
      <w:bookmarkEnd w:id="17"/>
    </w:p>
    <w:p>
      <w:pPr>
        <w:spacing w:line="560" w:lineRule="exact"/>
        <w:ind w:firstLine="643" w:firstLineChars="200"/>
        <w:outlineLvl w:val="0"/>
        <w:rPr>
          <w:rFonts w:ascii="楷体_GB2312" w:eastAsia="楷体_GB2312"/>
          <w:b/>
          <w:bCs/>
          <w:color w:val="auto"/>
          <w:sz w:val="32"/>
          <w:szCs w:val="32"/>
        </w:rPr>
      </w:pPr>
      <w:bookmarkStart w:id="18" w:name="_Toc103345066"/>
      <w:bookmarkStart w:id="19" w:name="_Toc5262425"/>
      <w:bookmarkStart w:id="20" w:name="_Toc5089728"/>
      <w:bookmarkStart w:id="21" w:name="_Toc30940"/>
      <w:bookmarkStart w:id="22" w:name="_Toc5262938"/>
      <w:bookmarkStart w:id="23" w:name="_Toc103343703"/>
      <w:r>
        <w:rPr>
          <w:rFonts w:hint="eastAsia" w:ascii="楷体_GB2312" w:eastAsia="楷体_GB2312"/>
          <w:b/>
          <w:bCs/>
          <w:color w:val="auto"/>
          <w:sz w:val="32"/>
          <w:szCs w:val="32"/>
        </w:rPr>
        <w:t>（一）专业技术职务评聘的基本情况</w:t>
      </w:r>
      <w:bookmarkEnd w:id="18"/>
      <w:bookmarkEnd w:id="19"/>
      <w:bookmarkEnd w:id="20"/>
      <w:bookmarkEnd w:id="21"/>
      <w:bookmarkEnd w:id="22"/>
      <w:bookmarkEnd w:id="23"/>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1.晋升评聘。</w:t>
      </w:r>
      <w:r>
        <w:rPr>
          <w:rFonts w:ascii="仿宋_GB2312" w:eastAsia="仿宋_GB2312"/>
          <w:color w:val="auto"/>
          <w:sz w:val="32"/>
          <w:szCs w:val="32"/>
        </w:rPr>
        <w:t>202</w:t>
      </w:r>
      <w:r>
        <w:rPr>
          <w:rFonts w:hint="eastAsia" w:ascii="仿宋_GB2312" w:eastAsia="仿宋_GB2312"/>
          <w:color w:val="auto"/>
          <w:sz w:val="32"/>
          <w:szCs w:val="32"/>
        </w:rPr>
        <w:t>1年，我校申报晋升专业技术职务共</w:t>
      </w:r>
      <w:r>
        <w:rPr>
          <w:rFonts w:hint="eastAsia" w:ascii="仿宋_GB2312" w:hAnsi="Times New Roman" w:eastAsia="仿宋_GB2312"/>
          <w:color w:val="auto"/>
          <w:sz w:val="32"/>
          <w:szCs w:val="32"/>
        </w:rPr>
        <w:t>157</w:t>
      </w:r>
      <w:r>
        <w:rPr>
          <w:rFonts w:hint="eastAsia" w:ascii="仿宋_GB2312" w:eastAsia="仿宋_GB2312"/>
          <w:color w:val="auto"/>
          <w:sz w:val="32"/>
          <w:szCs w:val="32"/>
        </w:rPr>
        <w:t>人，其中申报正高58人，实际增聘任四级岗23人；申报副高99人，实际增聘七级岗51人，转评4人。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2.专业技术职务初聘。20</w:t>
      </w:r>
      <w:r>
        <w:rPr>
          <w:rFonts w:ascii="仿宋_GB2312" w:eastAsia="仿宋_GB2312"/>
          <w:color w:val="auto"/>
          <w:sz w:val="32"/>
          <w:szCs w:val="32"/>
        </w:rPr>
        <w:t>2</w:t>
      </w:r>
      <w:r>
        <w:rPr>
          <w:rFonts w:hint="eastAsia" w:ascii="仿宋_GB2312" w:eastAsia="仿宋_GB2312"/>
          <w:color w:val="auto"/>
          <w:sz w:val="32"/>
          <w:szCs w:val="32"/>
        </w:rPr>
        <w:t>1年，对博士、硕士等毕业符合条件的教师，初聘十级岗109人，转评聘十级岗8人。</w:t>
      </w:r>
    </w:p>
    <w:p>
      <w:pPr>
        <w:spacing w:line="560" w:lineRule="exact"/>
        <w:ind w:firstLine="643" w:firstLineChars="200"/>
        <w:outlineLvl w:val="0"/>
        <w:rPr>
          <w:rFonts w:ascii="楷体_GB2312" w:eastAsia="楷体_GB2312"/>
          <w:b/>
          <w:bCs/>
          <w:color w:val="auto"/>
          <w:sz w:val="32"/>
          <w:szCs w:val="32"/>
        </w:rPr>
      </w:pPr>
      <w:bookmarkStart w:id="24" w:name="_Toc5262939"/>
      <w:bookmarkStart w:id="25" w:name="_Toc5262426"/>
      <w:bookmarkStart w:id="26" w:name="_Toc103343704"/>
      <w:bookmarkStart w:id="27" w:name="_Toc103345067"/>
      <w:bookmarkStart w:id="28" w:name="_Toc17590"/>
      <w:bookmarkStart w:id="29" w:name="_Toc5089729"/>
      <w:r>
        <w:rPr>
          <w:rFonts w:hint="eastAsia" w:ascii="楷体_GB2312" w:eastAsia="楷体_GB2312"/>
          <w:b/>
          <w:bCs/>
          <w:color w:val="auto"/>
          <w:sz w:val="32"/>
          <w:szCs w:val="32"/>
        </w:rPr>
        <w:t>（二）推荐评优项目的基本情况</w:t>
      </w:r>
      <w:bookmarkEnd w:id="24"/>
      <w:bookmarkEnd w:id="25"/>
      <w:bookmarkEnd w:id="26"/>
      <w:bookmarkEnd w:id="27"/>
      <w:bookmarkEnd w:id="28"/>
      <w:bookmarkEnd w:id="29"/>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w:t>
      </w:r>
      <w:r>
        <w:rPr>
          <w:rFonts w:ascii="仿宋_GB2312" w:eastAsia="仿宋_GB2312"/>
          <w:color w:val="auto"/>
          <w:sz w:val="32"/>
          <w:szCs w:val="32"/>
        </w:rPr>
        <w:t>1</w:t>
      </w:r>
      <w:r>
        <w:rPr>
          <w:rFonts w:hint="eastAsia" w:ascii="仿宋_GB2312" w:eastAsia="仿宋_GB2312"/>
          <w:color w:val="auto"/>
          <w:sz w:val="32"/>
          <w:szCs w:val="32"/>
        </w:rPr>
        <w:t>年，人事处、教务处和工会组织的主要人才推优和荣誉申报项目工作情况如下：</w:t>
      </w:r>
    </w:p>
    <w:tbl>
      <w:tblPr>
        <w:tblStyle w:val="13"/>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2175"/>
        <w:gridCol w:w="2019"/>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blHeader/>
          <w:jc w:val="center"/>
        </w:trPr>
        <w:tc>
          <w:tcPr>
            <w:tcW w:w="2170" w:type="dxa"/>
            <w:vAlign w:val="center"/>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项目名称</w:t>
            </w:r>
          </w:p>
        </w:tc>
        <w:tc>
          <w:tcPr>
            <w:tcW w:w="2175" w:type="dxa"/>
            <w:vAlign w:val="center"/>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通知发布</w:t>
            </w:r>
          </w:p>
        </w:tc>
        <w:tc>
          <w:tcPr>
            <w:tcW w:w="2019" w:type="dxa"/>
            <w:vAlign w:val="center"/>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校内公示</w:t>
            </w:r>
          </w:p>
        </w:tc>
        <w:tc>
          <w:tcPr>
            <w:tcW w:w="2991" w:type="dxa"/>
            <w:vAlign w:val="center"/>
          </w:tcPr>
          <w:p>
            <w:pPr>
              <w:spacing w:line="360" w:lineRule="exac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入选人员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第六批浙江省特级专家</w:t>
            </w:r>
          </w:p>
        </w:tc>
        <w:tc>
          <w:tcPr>
            <w:tcW w:w="2175" w:type="dxa"/>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2020年8月31日</w:t>
            </w:r>
          </w:p>
        </w:tc>
        <w:tc>
          <w:tcPr>
            <w:tcW w:w="2019" w:type="dxa"/>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2020年9月24日</w:t>
            </w:r>
          </w:p>
        </w:tc>
        <w:tc>
          <w:tcPr>
            <w:tcW w:w="2991"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顾青（公布时间为2021年4月）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2020年度省“万人计划”青年拔尖人才</w:t>
            </w:r>
          </w:p>
        </w:tc>
        <w:tc>
          <w:tcPr>
            <w:tcW w:w="2175" w:type="dxa"/>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2020年9月27日</w:t>
            </w:r>
          </w:p>
        </w:tc>
        <w:tc>
          <w:tcPr>
            <w:tcW w:w="2019" w:type="dxa"/>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shd w:val="clear" w:color="auto" w:fill="FFFFFF"/>
              </w:rPr>
              <w:t>2020年10月10日</w:t>
            </w:r>
          </w:p>
        </w:tc>
        <w:tc>
          <w:tcPr>
            <w:tcW w:w="2991"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朱玥、郦萍（公布时间为2021年4月）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浙江省农业科技先进工作者</w:t>
            </w:r>
          </w:p>
        </w:tc>
        <w:tc>
          <w:tcPr>
            <w:tcW w:w="2175"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3月12日</w:t>
            </w:r>
          </w:p>
        </w:tc>
        <w:tc>
          <w:tcPr>
            <w:tcW w:w="2019"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3月17日</w:t>
            </w:r>
          </w:p>
        </w:tc>
        <w:tc>
          <w:tcPr>
            <w:tcW w:w="2991"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田师一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国家“万人计划”科技创新领军人才</w:t>
            </w:r>
          </w:p>
        </w:tc>
        <w:tc>
          <w:tcPr>
            <w:tcW w:w="2175"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2020年9月27日</w:t>
            </w:r>
          </w:p>
        </w:tc>
        <w:tc>
          <w:tcPr>
            <w:tcW w:w="2019"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2020年10月12日</w:t>
            </w:r>
          </w:p>
        </w:tc>
        <w:tc>
          <w:tcPr>
            <w:tcW w:w="2991"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顾青（公布时间为2021年12月）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2021年度浙江省</w:t>
            </w:r>
            <w:r>
              <w:rPr>
                <w:rFonts w:hint="eastAsia" w:ascii="仿宋_GB2312" w:hAnsi="仿宋_GB2312" w:eastAsia="仿宋_GB2312" w:cs="仿宋_GB2312"/>
                <w:color w:val="auto"/>
                <w:sz w:val="24"/>
              </w:rPr>
              <w:t>“万人计划”</w:t>
            </w:r>
            <w:r>
              <w:rPr>
                <w:rFonts w:hint="eastAsia" w:ascii="仿宋_GB2312" w:hAnsi="仿宋_GB2312" w:eastAsia="仿宋_GB2312" w:cs="仿宋_GB2312"/>
                <w:color w:val="auto"/>
                <w:sz w:val="24"/>
                <w:shd w:val="clear" w:color="auto" w:fill="FFFFFF"/>
              </w:rPr>
              <w:t>科技创新领军人才</w:t>
            </w:r>
          </w:p>
        </w:tc>
        <w:tc>
          <w:tcPr>
            <w:tcW w:w="2175"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5月13日</w:t>
            </w:r>
          </w:p>
        </w:tc>
        <w:tc>
          <w:tcPr>
            <w:tcW w:w="2019"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5月25日</w:t>
            </w:r>
          </w:p>
        </w:tc>
        <w:tc>
          <w:tcPr>
            <w:tcW w:w="2991"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冯华军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highlight w:val="none"/>
                <w:shd w:val="clear" w:color="auto" w:fill="FFFFFF"/>
              </w:rPr>
              <w:t>2021年度</w:t>
            </w:r>
            <w:r>
              <w:rPr>
                <w:rFonts w:hint="eastAsia" w:ascii="仿宋_GB2312" w:hAnsi="仿宋_GB2312" w:eastAsia="仿宋_GB2312" w:cs="仿宋_GB2312"/>
                <w:color w:val="auto"/>
                <w:sz w:val="24"/>
                <w:highlight w:val="none"/>
                <w:shd w:val="clear" w:color="auto" w:fill="FFFFFF"/>
                <w:lang w:val="en-US" w:eastAsia="zh-CN"/>
              </w:rPr>
              <w:t>浙江省</w:t>
            </w:r>
            <w:r>
              <w:rPr>
                <w:rFonts w:hint="eastAsia" w:ascii="仿宋_GB2312" w:hAnsi="仿宋_GB2312" w:eastAsia="仿宋_GB2312" w:cs="仿宋_GB2312"/>
                <w:color w:val="auto"/>
                <w:sz w:val="24"/>
                <w:highlight w:val="none"/>
              </w:rPr>
              <w:t>“万人计划”青年拔尖人才</w:t>
            </w:r>
          </w:p>
        </w:tc>
        <w:tc>
          <w:tcPr>
            <w:tcW w:w="2175"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5月13日</w:t>
            </w:r>
          </w:p>
        </w:tc>
        <w:tc>
          <w:tcPr>
            <w:tcW w:w="2019"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5月25日</w:t>
            </w:r>
          </w:p>
        </w:tc>
        <w:tc>
          <w:tcPr>
            <w:tcW w:w="2991"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田师一、刘振广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2021年度国家</w:t>
            </w:r>
            <w:r>
              <w:rPr>
                <w:rFonts w:hint="eastAsia" w:ascii="仿宋_GB2312" w:hAnsi="仿宋_GB2312" w:eastAsia="仿宋_GB2312" w:cs="仿宋_GB2312"/>
                <w:color w:val="auto"/>
                <w:sz w:val="24"/>
              </w:rPr>
              <w:t>“万人计划”青年拔尖人才（哲社类）</w:t>
            </w:r>
          </w:p>
        </w:tc>
        <w:tc>
          <w:tcPr>
            <w:tcW w:w="2175"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5月13日</w:t>
            </w:r>
          </w:p>
        </w:tc>
        <w:tc>
          <w:tcPr>
            <w:tcW w:w="2019"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社科联推荐</w:t>
            </w:r>
          </w:p>
        </w:tc>
        <w:tc>
          <w:tcPr>
            <w:tcW w:w="2991"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rPr>
              <w:t>2021年度全国宣传思想文化青年英才</w:t>
            </w:r>
          </w:p>
        </w:tc>
        <w:tc>
          <w:tcPr>
            <w:tcW w:w="2175"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5月13日</w:t>
            </w:r>
          </w:p>
        </w:tc>
        <w:tc>
          <w:tcPr>
            <w:tcW w:w="2019"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5月17日</w:t>
            </w:r>
          </w:p>
        </w:tc>
        <w:tc>
          <w:tcPr>
            <w:tcW w:w="2991" w:type="dxa"/>
            <w:vAlign w:val="center"/>
          </w:tcPr>
          <w:p>
            <w:pPr>
              <w:spacing w:line="360" w:lineRule="exact"/>
              <w:jc w:val="left"/>
              <w:rPr>
                <w:rFonts w:ascii="仿宋_GB2312" w:hAnsi="仿宋_GB2312" w:eastAsia="仿宋_GB2312" w:cs="仿宋_GB2312"/>
                <w:color w:val="auto"/>
                <w:sz w:val="24"/>
                <w:shd w:val="clear" w:color="auto" w:fill="FFFFFF"/>
              </w:rPr>
            </w:pPr>
            <w:r>
              <w:rPr>
                <w:rFonts w:hint="eastAsia" w:ascii="仿宋_GB2312" w:hAnsi="仿宋_GB2312" w:eastAsia="仿宋_GB2312" w:cs="仿宋_GB2312"/>
                <w:color w:val="auto"/>
                <w:sz w:val="24"/>
                <w:shd w:val="clear" w:color="auto" w:fill="FFFFFF"/>
              </w:rPr>
              <w:t>王学渊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2021年国家公派出国留学项目</w:t>
            </w:r>
          </w:p>
        </w:tc>
        <w:tc>
          <w:tcPr>
            <w:tcW w:w="2175"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2021年3月19日</w:t>
            </w:r>
          </w:p>
        </w:tc>
        <w:tc>
          <w:tcPr>
            <w:tcW w:w="2019"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直接系统上报，国家留学基金委选拔</w:t>
            </w:r>
          </w:p>
        </w:tc>
        <w:tc>
          <w:tcPr>
            <w:tcW w:w="2991"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shd w:val="clear" w:color="auto" w:fill="FFFFFF"/>
              </w:rPr>
              <w:t>孔颖、汪惠勤、张光新、陈丽春、姜勇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pStyle w:val="4"/>
              <w:keepNext w:val="0"/>
              <w:keepLines w:val="0"/>
              <w:widowControl/>
              <w:shd w:val="clear" w:color="auto" w:fill="FFFFFF"/>
              <w:spacing w:before="0" w:after="0" w:line="17" w:lineRule="atLeast"/>
              <w:jc w:val="left"/>
              <w:textAlignment w:val="baseline"/>
              <w:rPr>
                <w:rFonts w:ascii="仿宋_GB2312" w:hAnsi="仿宋_GB2312" w:eastAsia="仿宋_GB2312" w:cs="仿宋_GB2312"/>
                <w:b w:val="0"/>
                <w:color w:val="auto"/>
                <w:sz w:val="24"/>
                <w:szCs w:val="24"/>
              </w:rPr>
            </w:pPr>
            <w:r>
              <w:rPr>
                <w:rFonts w:hint="eastAsia" w:ascii="仿宋_GB2312" w:hAnsi="仿宋_GB2312" w:eastAsia="仿宋_GB2312" w:cs="仿宋_GB2312"/>
                <w:b w:val="0"/>
                <w:bCs w:val="0"/>
                <w:color w:val="auto"/>
                <w:sz w:val="24"/>
                <w:szCs w:val="24"/>
              </w:rPr>
              <w:t>2021年地方合作项目出国研修项目</w:t>
            </w:r>
          </w:p>
        </w:tc>
        <w:tc>
          <w:tcPr>
            <w:tcW w:w="2175"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4月22日</w:t>
            </w:r>
          </w:p>
        </w:tc>
        <w:tc>
          <w:tcPr>
            <w:tcW w:w="2019"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直接系统上报，国家留学基金委选拔</w:t>
            </w:r>
          </w:p>
        </w:tc>
        <w:tc>
          <w:tcPr>
            <w:tcW w:w="2991"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程丽蓉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2021年度优秀教师、优秀教育工作者</w:t>
            </w:r>
          </w:p>
        </w:tc>
        <w:tc>
          <w:tcPr>
            <w:tcW w:w="2175"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5月13日</w:t>
            </w:r>
          </w:p>
        </w:tc>
        <w:tc>
          <w:tcPr>
            <w:tcW w:w="2019" w:type="dxa"/>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6月9日候选人公示；</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6月25日</w:t>
            </w:r>
          </w:p>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结果公示</w:t>
            </w:r>
          </w:p>
        </w:tc>
        <w:tc>
          <w:tcPr>
            <w:tcW w:w="2991" w:type="dxa"/>
            <w:vAlign w:val="center"/>
          </w:tcPr>
          <w:p>
            <w:pPr>
              <w:spacing w:line="360" w:lineRule="exact"/>
              <w:jc w:val="left"/>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校优秀教师（10人）</w:t>
            </w:r>
          </w:p>
          <w:p>
            <w:pPr>
              <w:spacing w:line="360" w:lineRule="exact"/>
              <w:jc w:val="left"/>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万鹏、王楠、邓弋威、成梦溪、苑韶峰   袁安府、顾赵丽、诸葛斌、董高峰、程开明</w:t>
            </w:r>
          </w:p>
          <w:p>
            <w:pPr>
              <w:spacing w:line="360" w:lineRule="exact"/>
              <w:jc w:val="left"/>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校优秀教育工作者（5人）：</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马东梅、马秀丽、闫涛、张茂龙、蒋旻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2170" w:type="dxa"/>
            <w:vAlign w:val="center"/>
          </w:tcPr>
          <w:p>
            <w:pPr>
              <w:pStyle w:val="4"/>
              <w:widowControl/>
              <w:spacing w:line="360" w:lineRule="auto"/>
              <w:jc w:val="left"/>
              <w:rPr>
                <w:rFonts w:ascii="仿宋_GB2312" w:hAnsi="仿宋_GB2312" w:eastAsia="仿宋_GB2312" w:cs="仿宋_GB2312"/>
                <w:b w:val="0"/>
                <w:color w:val="auto"/>
                <w:sz w:val="24"/>
                <w:szCs w:val="24"/>
              </w:rPr>
            </w:pPr>
            <w:r>
              <w:rPr>
                <w:rFonts w:hint="eastAsia" w:ascii="仿宋_GB2312" w:hAnsi="仿宋_GB2312" w:eastAsia="仿宋_GB2312" w:cs="仿宋_GB2312"/>
                <w:b w:val="0"/>
                <w:color w:val="auto"/>
                <w:sz w:val="24"/>
                <w:szCs w:val="24"/>
              </w:rPr>
              <w:t>2021年青年骨干教师出国研修项目</w:t>
            </w:r>
          </w:p>
        </w:tc>
        <w:tc>
          <w:tcPr>
            <w:tcW w:w="2175"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8月17日</w:t>
            </w:r>
          </w:p>
        </w:tc>
        <w:tc>
          <w:tcPr>
            <w:tcW w:w="2019"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10月8日</w:t>
            </w:r>
          </w:p>
        </w:tc>
        <w:tc>
          <w:tcPr>
            <w:tcW w:w="2991"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shd w:val="clear" w:color="auto" w:fill="FFFFFF"/>
              </w:rPr>
              <w:t>高军、潘文红、严菁琦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2021年度“西湖学者计划”人才</w:t>
            </w:r>
          </w:p>
        </w:tc>
        <w:tc>
          <w:tcPr>
            <w:tcW w:w="2175"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3月8日</w:t>
            </w:r>
          </w:p>
        </w:tc>
        <w:tc>
          <w:tcPr>
            <w:tcW w:w="2019" w:type="dxa"/>
            <w:vAlign w:val="center"/>
          </w:tcPr>
          <w:p>
            <w:pPr>
              <w:spacing w:line="360" w:lineRule="exact"/>
              <w:jc w:val="left"/>
              <w:rPr>
                <w:rFonts w:ascii="仿宋_GB2312" w:hAnsi="仿宋_GB2312" w:eastAsia="仿宋_GB2312" w:cs="仿宋_GB2312"/>
                <w:b/>
                <w:color w:val="auto"/>
                <w:sz w:val="24"/>
              </w:rPr>
            </w:pPr>
            <w:r>
              <w:rPr>
                <w:rFonts w:hint="eastAsia" w:ascii="仿宋_GB2312" w:hAnsi="仿宋_GB2312" w:eastAsia="仿宋_GB2312" w:cs="仿宋_GB2312"/>
                <w:color w:val="auto"/>
                <w:sz w:val="24"/>
              </w:rPr>
              <w:t>4月9日、4月16日</w:t>
            </w:r>
          </w:p>
        </w:tc>
        <w:tc>
          <w:tcPr>
            <w:tcW w:w="2991" w:type="dxa"/>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一、西湖学者杰出人才</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顾青</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二、西湖学者拔尖人才A岗</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田师一、杨柏林、陈柳裕、陈庭贵、范钧、易开刚、赵英军、俞荣建、程开明</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三、西湖学者拔尖人才B岗</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王文治、王节祥、王江峰、王学渊、毛丰付、冯俊丽、朱军莉、江博琼、许翀寰、李怀政、李翠珍、吴礼光、岑杰、 张巧智、陈丽春、陈剑、陈婷（环境学院）、</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周珏、封利强、徐颖峰、高燕、谌莉文、傅培华、詹真荣</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四、西湖学者青年优秀人才</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韦宏耀、邓弋威、许瞭、李言、杨惠兰、陈书界、陈再明、陈婉莹、罗玲利、季若望、周凡、赵帅、姚力、商辉、谢江佩、詹沙磊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“十四五”首批职业教育国家规划教材</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2021年12月17日</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（不予公开）</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2021年12月24日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《烹饪原料学》</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《跨境电商理论与实务》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2021年度校级精品在线开放课程建设项目</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2021年10月20日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2021年11月26日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《高级财务管理》等15门课程为校级精品在线开放课程建设项目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省级教材建设研究基地</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2021年6月15日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2021年9月16日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浙江省高校大数据教材研究基地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2021年度校级课程思政教学项目</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2021年4月14日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2021年8月1日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《组织行为学》课程组等5个基层教学组织为校级课程思政示范基层教学组织；</w:t>
            </w:r>
          </w:p>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《新文科视域下“六结合四融入”的隐性教育导入式工商管理类课程思政教学模式研究——以&lt;创新管理与新产品开发&gt;为例》等20项教学改革项目为校级课程思政教学改革项目；</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《管理学原理》等30门课程为校级课程思政示范课程。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第二批国家级一流课程</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2021年4月30日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2021年5月20日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《微观经济学原理》等5门课程申报国家级线上一流课程；</w:t>
            </w:r>
          </w:p>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《组织行为学（英）》等6门课程申报国家级线下一流课程；</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《企业危机管理》等6门课程申报国家级线上线下混合式一流课程。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2021年度省级课程思政教学项目</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2021年3月19日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2021年5月6日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“企业管理系”等2个基层教学组织申报省级课程思政示范基层教学组织；</w:t>
            </w:r>
          </w:p>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《工商管理专业课 “三位一体”课程思政建设路径：以&lt;企业公共关系&gt;课程为例》等10项教学改革项目申报省级课程思政教学改革项目；</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《企业危机管理》等15门课程申报省级课程思政示范课程。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第五届青年教师教学创新大赛</w:t>
            </w:r>
          </w:p>
        </w:tc>
        <w:tc>
          <w:tcPr>
            <w:tcW w:w="21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2021年3月2日</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初赛：2021年4月6日</w:t>
            </w:r>
          </w:p>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复赛：2021年5月17—2021年5月28日</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决赛：2021年6月9日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特等奖：（空缺）</w:t>
            </w:r>
          </w:p>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一等奖：朱贺、杨佩佩、殷西乐</w:t>
            </w:r>
          </w:p>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二等奖：刘念、孙玉海、严菁琦、汪恭政、曹丹</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三等奖：任建宇、李修琳、吴晓春、陆青、陈程、陈婷、鲍福光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第三届教学卓越奖评选</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2021年3月1日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专家初评：2021年3月28日—2021年4月22日；</w:t>
            </w:r>
          </w:p>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大众投票：2021年6月1日—2021年6月4日；</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会议评审：2021年6月23日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特等奖：封毅</w:t>
            </w:r>
          </w:p>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一等奖：王晓辰、方霞、肖余春</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提名奖：王琳、伍蓓、邬易平、吴欣、吴毓华、邹园萍、苑 韶峰、徐清、诸葛斌、傅均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教育部课程思政示范项目</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2021年3月19日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2021年3月21日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《大数据与知识工程》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浙江省本科高校2020年度省级一流课程认定</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2021年2月7日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2021年3月13日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《组织行为学(英)》等50门课程申报省级线下、线上线下混合式一流课程；</w:t>
            </w:r>
          </w:p>
          <w:p>
            <w:pPr>
              <w:spacing w:line="36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《国际商务礼仪（英）》等8门课程申报省级一流本科国际化课程；</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《创业领导力与团队管理》等15门课程申报省级线上一流课程。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浙江省教育系统“最美志愿者”</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“最美志愿服务组织”</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2021年2月1日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2021年3月10日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最美志愿者：张华</w:t>
            </w:r>
          </w:p>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最美志愿服务组织：外语学院“语你同行”志愿服务组织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2021年度浙江省高校教职工文化金品牌</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2021年5月26日</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2021年7月2日</w:t>
            </w:r>
          </w:p>
        </w:tc>
        <w:tc>
          <w:tcPr>
            <w:tcW w:w="299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悦己达人 读享书香——浙江工商大学“悦读”文化品牌</w:t>
            </w:r>
          </w:p>
        </w:tc>
      </w:tr>
    </w:tbl>
    <w:p>
      <w:pPr>
        <w:pStyle w:val="33"/>
        <w:numPr>
          <w:ilvl w:val="0"/>
          <w:numId w:val="2"/>
        </w:numPr>
        <w:ind w:firstLine="640"/>
        <w:rPr>
          <w:rFonts w:ascii="黑体" w:hAnsi="黑体" w:eastAsia="黑体"/>
          <w:b w:val="0"/>
          <w:color w:val="auto"/>
        </w:rPr>
      </w:pPr>
      <w:bookmarkStart w:id="30" w:name="_Toc5089730"/>
      <w:r>
        <w:rPr>
          <w:rFonts w:hint="eastAsia" w:ascii="黑体" w:hAnsi="黑体" w:eastAsia="黑体"/>
          <w:b w:val="0"/>
          <w:color w:val="auto"/>
        </w:rPr>
        <w:t>工作举措</w:t>
      </w:r>
      <w:bookmarkEnd w:id="30"/>
    </w:p>
    <w:p>
      <w:pPr>
        <w:pStyle w:val="33"/>
        <w:ind w:firstLine="0" w:firstLineChars="0"/>
        <w:rPr>
          <w:b w:val="0"/>
          <w:color w:val="auto"/>
        </w:rPr>
      </w:pPr>
      <w:r>
        <w:rPr>
          <w:rFonts w:hint="eastAsia" w:ascii="黑体" w:hAnsi="黑体" w:eastAsia="黑体"/>
          <w:b w:val="0"/>
          <w:color w:val="auto"/>
        </w:rPr>
        <w:t xml:space="preserve">  </w:t>
      </w:r>
      <w:r>
        <w:rPr>
          <w:rFonts w:hint="eastAsia" w:ascii="黑体" w:hAnsi="黑体" w:eastAsia="黑体"/>
          <w:bCs/>
          <w:color w:val="auto"/>
        </w:rPr>
        <w:t xml:space="preserve">  </w:t>
      </w:r>
      <w:r>
        <w:rPr>
          <w:rFonts w:hint="eastAsia"/>
          <w:bCs/>
          <w:color w:val="auto"/>
        </w:rPr>
        <w:t>（一）专业技术职务评聘工作的公开措施</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公开发布文件，明确评聘政策。8月3日，学校公开发布了《浙江工商大学专业技术职务评聘办法》（浙商大人〔2021〕145号）。在文件中，明确了本年度专业技术职务评聘的范围、依据、原则、申报条件和评审组织、程序以及评审工作的各项相关规定等。</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2.严把材料送审关，加大第三方机构送审力度。20</w:t>
      </w:r>
      <w:r>
        <w:rPr>
          <w:rFonts w:ascii="仿宋_GB2312" w:eastAsia="仿宋_GB2312"/>
          <w:color w:val="auto"/>
          <w:sz w:val="32"/>
          <w:szCs w:val="32"/>
        </w:rPr>
        <w:t>2</w:t>
      </w:r>
      <w:r>
        <w:rPr>
          <w:rFonts w:hint="eastAsia" w:ascii="仿宋_GB2312" w:eastAsia="仿宋_GB2312"/>
          <w:color w:val="auto"/>
          <w:sz w:val="32"/>
          <w:szCs w:val="32"/>
        </w:rPr>
        <w:t>1年继续委托第三方机构评审。送审采取“随机”原则，将申报人提交的3篇代表作送往全国专家数据库中随机配对的同行专家（省外985、211高校正高级教授或研究员）评审，其中申报正高级专业技术职务的须送7名同行专家评审，申报副高级专业技术职务的须送5名同行专家评审；专家在不受任何外部因素干扰情况下，对被评人出具完全独立的学术评价意见，专家对其所出具的专家意见书负责并签名。</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3.规范专业技术职务评聘工作流程。学校按照有关规定成立专业技术职务评聘委员会，下设7个学科评议组和学院考核推荐组。严格依照评聘文件规定的分工和程序开展工作。相关部门根据申报条件</w:t>
      </w:r>
      <w:r>
        <w:rPr>
          <w:rFonts w:hint="eastAsia" w:ascii="仿宋_GB2312" w:hAnsi="宋体" w:eastAsia="仿宋_GB2312"/>
          <w:bCs/>
          <w:color w:val="auto"/>
          <w:sz w:val="32"/>
          <w:szCs w:val="32"/>
        </w:rPr>
        <w:t>对申报材料严格把关，按要求将申报表在校内网公示7天；对于评聘结果，也在校内网公示7天。评聘结果无异议。</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4.评审结果上报主管部门备案，校内发文，告知相关人员专业技术职务晋升情况。</w:t>
      </w:r>
    </w:p>
    <w:p>
      <w:pPr>
        <w:spacing w:line="560" w:lineRule="exact"/>
        <w:ind w:firstLine="643" w:firstLineChars="200"/>
        <w:rPr>
          <w:rFonts w:ascii="楷体_GB2312" w:eastAsia="楷体_GB2312"/>
          <w:b/>
          <w:bCs/>
          <w:color w:val="auto"/>
          <w:sz w:val="32"/>
          <w:szCs w:val="32"/>
        </w:rPr>
      </w:pPr>
      <w:r>
        <w:rPr>
          <w:rFonts w:hint="eastAsia" w:ascii="楷体_GB2312" w:eastAsia="楷体_GB2312"/>
          <w:b/>
          <w:bCs/>
          <w:color w:val="auto"/>
          <w:sz w:val="32"/>
          <w:szCs w:val="32"/>
        </w:rPr>
        <w:t>（二）人才推优和荣誉申报项目工作的公开措施</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ascii="楷体_GB2312" w:eastAsia="楷体_GB2312"/>
          <w:color w:val="auto"/>
          <w:sz w:val="32"/>
          <w:szCs w:val="32"/>
        </w:rPr>
        <w:t>.</w:t>
      </w:r>
      <w:r>
        <w:rPr>
          <w:rFonts w:hint="eastAsia" w:ascii="仿宋_GB2312" w:eastAsia="仿宋_GB2312"/>
          <w:color w:val="auto"/>
          <w:sz w:val="32"/>
          <w:szCs w:val="32"/>
        </w:rPr>
        <w:t>公开发布通知，明确评选政策。对于校内和上级部门的每一项人才推优和荣誉申报项目，学校都通过校内网公开发布了申报通知（上级有密级规定的除外），在通知中一般都会明确申报范围、申报条件、申报名额以及申报材料制作和提交时限要求等。在通知中，一般都会附上相关工作人员的联系电话，以便及时接受咨询，解答疑问。发布通知同时向纪检部门线上备案。</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楷体_GB2312" w:eastAsia="楷体_GB2312"/>
          <w:color w:val="auto"/>
          <w:sz w:val="32"/>
          <w:szCs w:val="32"/>
        </w:rPr>
        <w:t>.</w:t>
      </w:r>
      <w:r>
        <w:rPr>
          <w:rFonts w:hint="eastAsia" w:ascii="仿宋_GB2312" w:eastAsia="仿宋_GB2312"/>
          <w:color w:val="auto"/>
          <w:sz w:val="32"/>
          <w:szCs w:val="32"/>
        </w:rPr>
        <w:t>严格资格审查，规范遴选程序。学校相关部门根据项目文件对申报条件的要求，对于每一份申报材料严格进行审查，确保进入评审程序的都是合格人选。对于有名额限定的项目，学校召开评审会议选拔推荐，并根据上级要求由学校会议审定；对于无名额限定的项目，则将符合资格的全部报送，由上级部门组织遴选。</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楷体_GB2312" w:eastAsia="楷体_GB2312"/>
          <w:color w:val="auto"/>
          <w:sz w:val="32"/>
          <w:szCs w:val="32"/>
        </w:rPr>
        <w:t>.</w:t>
      </w:r>
      <w:r>
        <w:rPr>
          <w:rFonts w:hint="eastAsia" w:ascii="仿宋_GB2312" w:eastAsia="仿宋_GB2312"/>
          <w:color w:val="auto"/>
          <w:sz w:val="32"/>
          <w:szCs w:val="32"/>
        </w:rPr>
        <w:t>按照上级文件要求进行公示。对于需要校内评审推荐的，或者虽由上级评审但要求单位内公示的，都严格按照规定的方式和时限进行公示。</w:t>
      </w:r>
    </w:p>
    <w:p>
      <w:pPr>
        <w:spacing w:line="560" w:lineRule="exact"/>
        <w:ind w:firstLine="640" w:firstLineChars="200"/>
        <w:rPr>
          <w:color w:val="auto"/>
        </w:rPr>
      </w:pPr>
      <w:r>
        <w:rPr>
          <w:rFonts w:hint="eastAsia" w:ascii="仿宋_GB2312" w:eastAsia="仿宋_GB2312"/>
          <w:color w:val="auto"/>
          <w:sz w:val="32"/>
          <w:szCs w:val="32"/>
        </w:rPr>
        <w:t>4</w:t>
      </w:r>
      <w:r>
        <w:rPr>
          <w:rFonts w:ascii="楷体_GB2312" w:eastAsia="楷体_GB2312"/>
          <w:color w:val="auto"/>
          <w:sz w:val="32"/>
          <w:szCs w:val="32"/>
        </w:rPr>
        <w:t>.</w:t>
      </w:r>
      <w:r>
        <w:rPr>
          <w:rFonts w:hint="eastAsia" w:ascii="仿宋_GB2312" w:eastAsia="仿宋_GB2312"/>
          <w:color w:val="auto"/>
          <w:sz w:val="32"/>
          <w:szCs w:val="32"/>
        </w:rPr>
        <w:t>根据上级公布文件，网上公布评选结果。</w:t>
      </w:r>
    </w:p>
    <w:p>
      <w:pPr>
        <w:rPr>
          <w:color w:val="auto"/>
        </w:rPr>
      </w:pPr>
      <w:r>
        <w:rPr>
          <w:color w:val="auto"/>
        </w:rPr>
        <w:br w:type="page"/>
      </w:r>
    </w:p>
    <w:p>
      <w:pPr>
        <w:pStyle w:val="3"/>
        <w:rPr>
          <w:color w:val="auto"/>
        </w:rPr>
      </w:pPr>
      <w:bookmarkStart w:id="31" w:name="_Toc5262940"/>
      <w:bookmarkStart w:id="32" w:name="_Toc103345068"/>
      <w:r>
        <w:rPr>
          <w:rFonts w:hint="eastAsia"/>
          <w:color w:val="auto"/>
        </w:rPr>
        <w:t>2021年教学仪器设备和大宗物资采购工作</w:t>
      </w:r>
      <w:bookmarkEnd w:id="31"/>
      <w:bookmarkEnd w:id="32"/>
    </w:p>
    <w:p>
      <w:pPr>
        <w:pStyle w:val="3"/>
        <w:rPr>
          <w:color w:val="auto"/>
        </w:rPr>
      </w:pPr>
      <w:bookmarkStart w:id="33" w:name="_Toc103343706"/>
      <w:bookmarkStart w:id="34" w:name="_Toc103345069"/>
      <w:bookmarkStart w:id="35" w:name="_Toc5262941"/>
      <w:bookmarkStart w:id="36" w:name="_Toc5089732"/>
      <w:r>
        <w:rPr>
          <w:rFonts w:hint="eastAsia"/>
          <w:color w:val="auto"/>
        </w:rPr>
        <w:t>公开报告</w:t>
      </w:r>
      <w:bookmarkEnd w:id="33"/>
      <w:bookmarkEnd w:id="34"/>
      <w:bookmarkEnd w:id="35"/>
      <w:bookmarkEnd w:id="36"/>
    </w:p>
    <w:p>
      <w:pPr>
        <w:pStyle w:val="33"/>
        <w:ind w:firstLine="640"/>
        <w:rPr>
          <w:rFonts w:ascii="黑体" w:hAnsi="黑体" w:eastAsia="黑体"/>
          <w:b w:val="0"/>
          <w:color w:val="auto"/>
        </w:rPr>
      </w:pPr>
      <w:r>
        <w:rPr>
          <w:rFonts w:hint="eastAsia" w:ascii="黑体" w:hAnsi="黑体" w:eastAsia="黑体"/>
          <w:b w:val="0"/>
          <w:color w:val="auto"/>
        </w:rPr>
        <w:t>一、基本情况</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学校申报政府采购预算执行建议书1757份，涉及金额2.55亿元，其中：设备类1132项，采购预算金额5823.83万元；家具类224项，采购预算金额487.89万元；软件类36项，采购预算金额621.51万元；图书资料及教材类15项，采购预算金额579.23万元；全校会议培训类26项，采购预算金额197.97万元；招生宣传、出版、保险等服务类项目248 项，采购预算金额13150.92万元；工程类41项，采购预算金额4400.43万元；其他零星采购项目35项，采购预算金额251.49万元。</w:t>
      </w:r>
      <w:r>
        <w:rPr>
          <w:rFonts w:hint="eastAsia" w:ascii="仿宋_GB2312" w:hAnsi="仿宋_GB2312" w:eastAsia="仿宋_GB2312" w:cs="仿宋_GB2312"/>
          <w:b/>
          <w:color w:val="auto"/>
          <w:sz w:val="32"/>
          <w:szCs w:val="32"/>
        </w:rPr>
        <w:t>（数据来源：计财处）</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2.2021年，学校新增仪器设备7713件（其中单台件10万元以上贵重仪器设备131件），金额8526.26万元；新增家具用具6400件，金额795.85万元；新增软件64件，金额543.74万元。</w:t>
      </w:r>
      <w:r>
        <w:rPr>
          <w:rFonts w:hint="eastAsia" w:ascii="仿宋_GB2312" w:hAnsi="仿宋_GB2312" w:eastAsia="仿宋_GB2312" w:cs="仿宋_GB2312"/>
          <w:b/>
          <w:color w:val="auto"/>
          <w:sz w:val="32"/>
          <w:szCs w:val="32"/>
        </w:rPr>
        <w:t>（数据来源：资产处）</w:t>
      </w:r>
    </w:p>
    <w:p>
      <w:pPr>
        <w:spacing w:line="560" w:lineRule="exact"/>
        <w:ind w:firstLine="640" w:firstLineChars="200"/>
        <w:rPr>
          <w:rStyle w:val="30"/>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3.2021年，学校主持或组织公开招标、竞争性磋商、竞争性谈判、单一来源等采购活动共计96次，招标采购项数123项，零星采购1247次。签订合同1259份，金额累计1.49亿元。采购活动涉及6个中央财政采购项目、10个省财政项目、258个科研项目及389个校级项目。实施12次网上服务市场采购，涉及物业、评估、电信类。备案54个会议类合同。</w:t>
      </w:r>
      <w:r>
        <w:rPr>
          <w:rFonts w:hint="eastAsia" w:ascii="仿宋_GB2312" w:hAnsi="仿宋_GB2312" w:eastAsia="仿宋_GB2312" w:cs="仿宋_GB2312"/>
          <w:b/>
          <w:color w:val="auto"/>
          <w:sz w:val="32"/>
          <w:szCs w:val="32"/>
        </w:rPr>
        <w:t>（数据来源：采购中心）</w:t>
      </w:r>
    </w:p>
    <w:p>
      <w:pPr>
        <w:spacing w:line="540" w:lineRule="exact"/>
        <w:jc w:val="center"/>
        <w:rPr>
          <w:rFonts w:ascii="仿宋_GB2312" w:hAnsi="仿宋_GB2312" w:eastAsia="仿宋_GB2312" w:cs="仿宋_GB2312"/>
          <w:b/>
          <w:color w:val="auto"/>
          <w:sz w:val="28"/>
          <w:szCs w:val="28"/>
          <w:shd w:val="clear" w:color="auto" w:fill="FFFFFF"/>
        </w:rPr>
      </w:pPr>
      <w:r>
        <w:rPr>
          <w:rFonts w:hint="eastAsia" w:ascii="仿宋_GB2312" w:hAnsi="仿宋_GB2312" w:eastAsia="仿宋_GB2312" w:cs="仿宋_GB2312"/>
          <w:b/>
          <w:color w:val="auto"/>
          <w:sz w:val="28"/>
          <w:szCs w:val="28"/>
          <w:shd w:val="clear" w:color="auto" w:fill="FFFFFF"/>
        </w:rPr>
        <w:t>2021年100万元以上教学仪器设备和大宗物资采购情况统计表</w:t>
      </w:r>
    </w:p>
    <w:tbl>
      <w:tblPr>
        <w:tblStyle w:val="13"/>
        <w:tblW w:w="7716" w:type="dxa"/>
        <w:jc w:val="center"/>
        <w:tblInd w:w="0" w:type="dxa"/>
        <w:tblLayout w:type="fixed"/>
        <w:tblCellMar>
          <w:top w:w="0" w:type="dxa"/>
          <w:left w:w="0" w:type="dxa"/>
          <w:bottom w:w="0" w:type="dxa"/>
          <w:right w:w="0" w:type="dxa"/>
        </w:tblCellMar>
      </w:tblPr>
      <w:tblGrid>
        <w:gridCol w:w="435"/>
        <w:gridCol w:w="2775"/>
        <w:gridCol w:w="1065"/>
        <w:gridCol w:w="1691"/>
        <w:gridCol w:w="1750"/>
      </w:tblGrid>
      <w:tr>
        <w:tblPrEx>
          <w:tblLayout w:type="fixed"/>
          <w:tblCellMar>
            <w:top w:w="0" w:type="dxa"/>
            <w:left w:w="0" w:type="dxa"/>
            <w:bottom w:w="0" w:type="dxa"/>
            <w:right w:w="0" w:type="dxa"/>
          </w:tblCellMar>
        </w:tblPrEx>
        <w:trPr>
          <w:trHeight w:val="6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采购项目名称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合同总额(万元)</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用户部门</w:t>
            </w:r>
          </w:p>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（学院）</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采购方式</w:t>
            </w:r>
          </w:p>
        </w:tc>
      </w:tr>
      <w:tr>
        <w:tblPrEx>
          <w:tblLayout w:type="fixed"/>
          <w:tblCellMar>
            <w:top w:w="0" w:type="dxa"/>
            <w:left w:w="0" w:type="dxa"/>
            <w:bottom w:w="0" w:type="dxa"/>
            <w:right w:w="0" w:type="dxa"/>
          </w:tblCellMar>
        </w:tblPrEx>
        <w:trPr>
          <w:trHeight w:val="6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浙江工商大学2022-2024年教材定点服务项目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1095.00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教务处、研究生部</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青年老师公寓丽泽苑北苑租赁服务项目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185.76</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公管处</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单一来源</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浙江工商大学服务器等一批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243.00</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反向竞价</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浙江工商大学交换机设备一批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179.40</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反向竞价</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浙江工商大学短视频拍摄制作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120.00</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浙江工商大学校级数据共享中心平台建设设备项目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119.99</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浙江工商大学智能论文送审服务项目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110.97</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研究生部</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单一来源</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浙江工商大学网络安全系统项目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113.16</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88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浙江工商大学基于5G的工业互联接入及应用实验室设备采购项目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146.98</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信电学院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浙江工商大学分析测试中心检验检测能力提升项目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199.80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环境学院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88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浙江工商大学下沙校区学生公寓3号楼寝室家具配置项目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122.18</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后勤服务中心</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浙江工商大学两校区保洁服务项目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2068.80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后勤服务中心</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13</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浙江工商大学台式电脑一批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234.79</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资产处及各部门</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14</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浙江工商大学金工（工程）实训中心建设项目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176.77</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食品学院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15</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浙江工商大学标准化机房改扩建项目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175.72</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85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16</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浙江工商大学环境微生物耐药及群体感应平台建设项目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144.90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环境学院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17</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浙江工商大学劳务派遣服务项目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150.00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人事处</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单一来源</w:t>
            </w:r>
          </w:p>
        </w:tc>
      </w:tr>
      <w:tr>
        <w:tblPrEx>
          <w:tblLayout w:type="fixed"/>
          <w:tblCellMar>
            <w:top w:w="0" w:type="dxa"/>
            <w:left w:w="0" w:type="dxa"/>
            <w:bottom w:w="0" w:type="dxa"/>
            <w:right w:w="0" w:type="dxa"/>
          </w:tblCellMar>
        </w:tblPrEx>
        <w:trPr>
          <w:trHeight w:val="114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18</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浙江工商大学大健康背景下面向食品安全的化学类物质仪器分析共享平台项目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137.95</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食品学院</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6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19</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浙江工商大学2021-2022课程拍摄服务项目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200.00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教务处</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公开招标</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20</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浙江工商大学印刷定点供应商之一</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100.00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公管处</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询价</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浙江工商大学印刷定点供应商之二</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100.00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公管处</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询价</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浙江工商大学印刷定点供应商之三</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100.00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公管处</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询价</w:t>
            </w:r>
          </w:p>
        </w:tc>
      </w:tr>
      <w:tr>
        <w:tblPrEx>
          <w:tblLayout w:type="fixed"/>
          <w:tblCellMar>
            <w:top w:w="0" w:type="dxa"/>
            <w:left w:w="0" w:type="dxa"/>
            <w:bottom w:w="0" w:type="dxa"/>
            <w:right w:w="0" w:type="dxa"/>
          </w:tblCellMar>
        </w:tblPrEx>
        <w:trPr>
          <w:trHeight w:val="57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23</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浙江工商大学印刷定点供应商之四</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100.00</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公管处</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询价</w:t>
            </w:r>
          </w:p>
        </w:tc>
      </w:tr>
      <w:tr>
        <w:tblPrEx>
          <w:tblLayout w:type="fixed"/>
          <w:tblCellMar>
            <w:top w:w="0" w:type="dxa"/>
            <w:left w:w="0" w:type="dxa"/>
            <w:bottom w:w="0" w:type="dxa"/>
            <w:right w:w="0" w:type="dxa"/>
          </w:tblCellMar>
        </w:tblPrEx>
        <w:trPr>
          <w:trHeight w:val="85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24</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浙江工商大学室外导视标牌设计及制作安装服务项目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135.52</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宣传部</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竞争性磋商</w:t>
            </w:r>
          </w:p>
        </w:tc>
      </w:tr>
      <w:tr>
        <w:tblPrEx>
          <w:tblLayout w:type="fixed"/>
          <w:tblCellMar>
            <w:top w:w="0" w:type="dxa"/>
            <w:left w:w="0" w:type="dxa"/>
            <w:bottom w:w="0" w:type="dxa"/>
            <w:right w:w="0" w:type="dxa"/>
          </w:tblCellMar>
        </w:tblPrEx>
        <w:trPr>
          <w:trHeight w:val="31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25</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浙江工商大学2021图书馆数字资源第一批</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335.83</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图书馆</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单一来源</w:t>
            </w:r>
          </w:p>
        </w:tc>
      </w:tr>
      <w:tr>
        <w:tblPrEx>
          <w:tblLayout w:type="fixed"/>
          <w:tblCellMar>
            <w:top w:w="0" w:type="dxa"/>
            <w:left w:w="0" w:type="dxa"/>
            <w:bottom w:w="0" w:type="dxa"/>
            <w:right w:w="0" w:type="dxa"/>
          </w:tblCellMar>
        </w:tblPrEx>
        <w:trPr>
          <w:trHeight w:val="31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26</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浙江工商大学同行评价服务操作系统评审服务</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270.00</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人事处</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单一来源</w:t>
            </w:r>
          </w:p>
        </w:tc>
      </w:tr>
      <w:tr>
        <w:tblPrEx>
          <w:tblLayout w:type="fixed"/>
          <w:tblCellMar>
            <w:top w:w="0" w:type="dxa"/>
            <w:left w:w="0" w:type="dxa"/>
            <w:bottom w:w="0" w:type="dxa"/>
            <w:right w:w="0" w:type="dxa"/>
          </w:tblCellMar>
        </w:tblPrEx>
        <w:trPr>
          <w:trHeight w:val="31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合计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val="0"/>
                <w:bCs w:val="0"/>
                <w:color w:val="auto"/>
                <w:sz w:val="24"/>
              </w:rPr>
              <w:t>7066.52</w:t>
            </w:r>
          </w:p>
        </w:tc>
        <w:tc>
          <w:tcPr>
            <w:tcW w:w="1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auto"/>
                <w:sz w:val="24"/>
              </w:rPr>
            </w:pPr>
          </w:p>
        </w:tc>
      </w:tr>
    </w:tbl>
    <w:p>
      <w:pPr>
        <w:pStyle w:val="33"/>
        <w:ind w:firstLine="640"/>
        <w:rPr>
          <w:rFonts w:ascii="黑体" w:hAnsi="黑体" w:eastAsia="黑体" w:cs="黑体"/>
          <w:b w:val="0"/>
          <w:color w:val="auto"/>
        </w:rPr>
      </w:pPr>
      <w:r>
        <w:rPr>
          <w:rFonts w:hint="eastAsia" w:ascii="黑体" w:hAnsi="黑体" w:eastAsia="黑体" w:cs="黑体"/>
          <w:b w:val="0"/>
          <w:color w:val="auto"/>
        </w:rPr>
        <w:t>二、工作举措</w:t>
      </w:r>
    </w:p>
    <w:p>
      <w:pPr>
        <w:pStyle w:val="33"/>
        <w:ind w:firstLine="640"/>
        <w:rPr>
          <w:rFonts w:ascii="仿宋_GB2312" w:hAnsi="仿宋_GB2312" w:eastAsia="仿宋_GB2312" w:cs="仿宋_GB2312"/>
          <w:b w:val="0"/>
          <w:color w:val="auto"/>
        </w:rPr>
      </w:pPr>
      <w:r>
        <w:rPr>
          <w:rFonts w:hint="eastAsia" w:ascii="仿宋_GB2312" w:hAnsi="仿宋_GB2312" w:eastAsia="仿宋_GB2312" w:cs="仿宋_GB2312"/>
          <w:b w:val="0"/>
          <w:color w:val="auto"/>
        </w:rPr>
        <w:t>1.健全完善采购管理制度体系。为进一步规范学校采购管理工作，理顺体制机制，提高采购效率，更好地服务教学、科研等工作，学校继续落实《采购管理办法》《部门自行采购实施细则》《电子卖场采购管理细则》《采购定点单位使用管理实施细则》《维修改造工程采购实施细则》等各项采购管理制度，构建了较为完善的采购管理制度体系，为采购管理工作的规范、有序开展提供了强有力的保障。</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抓好采购组织与管理。在采购的组织实施过程中，坚持“应编尽编、应采尽采、精采细采”的原则，采取专人专项全程跟踪管理的措施。及时召开财政专项采购项目协调布置会。对项目复杂性、重要性、时效性进行分析，对各项目所涉及的技术指标、质保、配件、评分方案的需求进行论证。对专业性强、技术要求高、难度大的采购项目聘请相关专家进行论证，确保整个项目招标方案既符合政府采购政策的规定，又满足用户的实际需求。教学仪器设备和大宗物资的采购全部进入政府采购程序，均委托浙江省政府采购中心及有资质的专业代理机构实行公开招标等方式实施采购，阳光操作，公正透明，其采购活动全程接受省级管理部门、社会、学校职能部门的监督。</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加强采购信息公开的日常监督管理。结合学校实际，对采购信息公开的主要事项进行了梳理规范，明确了各类信息公开事项的公开主体、内容、渠道、时间要求等，对采购信息公开事项实行清单式管理，信息发布更加公开透明。</w:t>
      </w:r>
    </w:p>
    <w:p>
      <w:pPr>
        <w:spacing w:line="540" w:lineRule="exact"/>
        <w:ind w:firstLine="640" w:firstLineChars="200"/>
        <w:rPr>
          <w:rFonts w:ascii="仿宋_GB2312" w:hAnsi="仿宋_GB2312" w:eastAsia="仿宋_GB2312" w:cs="仿宋_GB2312"/>
          <w:color w:val="auto"/>
          <w:sz w:val="32"/>
          <w:szCs w:val="32"/>
        </w:rPr>
      </w:pPr>
    </w:p>
    <w:p>
      <w:pPr>
        <w:rPr>
          <w:color w:val="auto"/>
        </w:rPr>
      </w:pPr>
      <w:r>
        <w:rPr>
          <w:color w:val="auto"/>
        </w:rPr>
        <w:br w:type="page"/>
      </w:r>
    </w:p>
    <w:p>
      <w:pPr>
        <w:pStyle w:val="3"/>
        <w:rPr>
          <w:color w:val="auto"/>
        </w:rPr>
      </w:pPr>
      <w:bookmarkStart w:id="37" w:name="_Toc103345070"/>
      <w:bookmarkStart w:id="38" w:name="_Toc510517462"/>
      <w:bookmarkStart w:id="39" w:name="_Toc5262942"/>
      <w:r>
        <w:rPr>
          <w:rFonts w:hint="eastAsia"/>
          <w:color w:val="auto"/>
        </w:rPr>
        <w:t>2021年大型工程和小额维修改造工作</w:t>
      </w:r>
      <w:bookmarkEnd w:id="37"/>
    </w:p>
    <w:p>
      <w:pPr>
        <w:pStyle w:val="3"/>
        <w:rPr>
          <w:color w:val="auto"/>
        </w:rPr>
      </w:pPr>
      <w:bookmarkStart w:id="40" w:name="_Toc103343708"/>
      <w:bookmarkStart w:id="41" w:name="_Toc103345071"/>
      <w:r>
        <w:rPr>
          <w:rFonts w:hint="eastAsia"/>
          <w:color w:val="auto"/>
        </w:rPr>
        <w:t>公开报告</w:t>
      </w:r>
      <w:bookmarkEnd w:id="38"/>
      <w:bookmarkEnd w:id="39"/>
      <w:bookmarkEnd w:id="40"/>
      <w:bookmarkEnd w:id="41"/>
    </w:p>
    <w:p>
      <w:pPr>
        <w:pStyle w:val="33"/>
        <w:ind w:left="420" w:leftChars="200" w:firstLine="0" w:firstLineChars="0"/>
        <w:rPr>
          <w:rFonts w:ascii="黑体" w:hAnsi="黑体" w:eastAsia="黑体" w:cs="黑体"/>
          <w:b w:val="0"/>
          <w:color w:val="auto"/>
        </w:rPr>
      </w:pPr>
      <w:r>
        <w:rPr>
          <w:rFonts w:hint="eastAsia" w:ascii="黑体" w:hAnsi="黑体" w:eastAsia="黑体" w:cs="黑体"/>
          <w:b w:val="0"/>
          <w:color w:val="auto"/>
        </w:rPr>
        <w:t>一、基本情况</w:t>
      </w:r>
    </w:p>
    <w:p>
      <w:pPr>
        <w:pStyle w:val="33"/>
        <w:ind w:firstLine="640"/>
        <w:rPr>
          <w:rFonts w:ascii="仿宋_GB2312" w:hAnsi="仿宋_GB2312" w:eastAsia="仿宋_GB2312" w:cs="仿宋_GB2312"/>
          <w:color w:val="auto"/>
        </w:rPr>
      </w:pPr>
      <w:r>
        <w:rPr>
          <w:rFonts w:hint="eastAsia" w:ascii="仿宋_GB2312" w:hAnsi="仿宋_GB2312" w:eastAsia="仿宋_GB2312" w:cs="仿宋_GB2312"/>
          <w:b w:val="0"/>
          <w:color w:val="auto"/>
        </w:rPr>
        <w:t>2021年，单项20万以上大型招标工程项目14项，预算金额共1353.7万元。已完成招标13项，招标合同金额1028.46万元。</w:t>
      </w:r>
      <w:r>
        <w:rPr>
          <w:rFonts w:hint="eastAsia" w:ascii="仿宋_GB2312" w:hAnsi="仿宋_GB2312" w:eastAsia="仿宋_GB2312" w:cs="仿宋_GB2312"/>
          <w:b w:val="0"/>
          <w:bCs/>
          <w:color w:val="auto"/>
        </w:rPr>
        <w:t>单项20万以下小额维修改造项目1097项，预算金额为1090万元。</w:t>
      </w:r>
      <w:r>
        <w:rPr>
          <w:rFonts w:hint="eastAsia" w:ascii="仿宋_GB2312" w:hAnsi="仿宋_GB2312" w:eastAsia="仿宋_GB2312" w:cs="仿宋_GB2312"/>
          <w:b w:val="0"/>
          <w:color w:val="auto"/>
        </w:rPr>
        <w:t>零星材料入库53169件，出库56076件。完成设计合同11项，监理合同12项。</w:t>
      </w:r>
    </w:p>
    <w:p>
      <w:pPr>
        <w:pStyle w:val="33"/>
        <w:rPr>
          <w:rFonts w:ascii="仿宋_GB2312" w:hAnsi="仿宋_GB2312" w:eastAsia="仿宋_GB2312" w:cs="仿宋_GB2312"/>
          <w:bCs/>
          <w:color w:val="auto"/>
        </w:rPr>
      </w:pPr>
      <w:r>
        <w:rPr>
          <w:rFonts w:hint="eastAsia" w:ascii="仿宋_GB2312" w:hAnsi="仿宋_GB2312" w:eastAsia="仿宋_GB2312" w:cs="仿宋_GB2312"/>
          <w:bCs/>
          <w:color w:val="auto"/>
        </w:rPr>
        <w:t>全年完成的重点项目有：</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1.文体中心（亚运手球比赛场馆）改造提升工程。</w:t>
      </w:r>
      <w:r>
        <w:rPr>
          <w:rFonts w:hint="eastAsia" w:ascii="仿宋_GB2312" w:hAnsi="仿宋_GB2312" w:eastAsia="仿宋_GB2312" w:cs="仿宋_GB2312"/>
          <w:color w:val="auto"/>
          <w:sz w:val="32"/>
          <w:szCs w:val="32"/>
        </w:rPr>
        <w:t>学校文体中心（亚运手球比赛场馆）改造提升工程于2019年启动，改造完成后，作2022年亚运会女子手球比赛场地使用。项目总用地面积约为65545㎡，建筑面积约为21149㎡，概算为1.2312亿元，其中省财政承担80%，我校自筹20%。项目分赛时保障与赛后恢复两个阶段实施——赛时保障主要包括竞赛区、观众区及媒体转播、安保与赛事保障等功能区场地改造提升和各赛事专用系统设施设备增设、更新等；赛后恢复主要为学校第二田径场等体育场地、设施等的恢复。2021年，项目完成赛时部分改造、提升施工内容后于5月24日组织竣工验收；9月9日通过赛事功能验收；9月10日通过消防专项验收；10月28日通过场馆及设施电气配置功能专项验收；12月23日通过亮灯建设效果专项验收，使场馆具备亚运赛事举办基本条件。11月28日，该场馆成功举办学校建校110周年庆典活动，场馆建设成效已发挥积极作用。</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2.科创大楼（产教融合基地）项目立项审批。</w:t>
      </w:r>
      <w:r>
        <w:rPr>
          <w:rFonts w:hint="eastAsia" w:ascii="仿宋_GB2312" w:hAnsi="仿宋_GB2312" w:eastAsia="仿宋_GB2312" w:cs="仿宋_GB2312"/>
          <w:color w:val="auto"/>
          <w:sz w:val="32"/>
          <w:szCs w:val="32"/>
        </w:rPr>
        <w:t>该项目选址于下沙校区教学区青春广场地块，总建筑面积23000㎡，其中地下面积约2500㎡，地上面积约为20500㎡。地下部分主要功能为人防工程、设备用房及用于交通的楼电梯和地下通道等，地上部分主要功能包括产教融合中心、数字创新中心（中央实验室）、国际开放中心、公共共享空间、科技转化基地等。项目计划总投资19894万元（含设备购置费3910万元），其中将积极争取“十四五”教育强国推进工程中央预算内资金8000万元。项目于2021年9月启动前期报批等相关工作，目前项目已成功立项。计划在2022年12月底前完成所有前期工作后开工，初定2025年6月竣工后投入使用。</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3.人工智能学院装修改造项目。</w:t>
      </w:r>
      <w:r>
        <w:rPr>
          <w:rFonts w:hint="eastAsia" w:ascii="仿宋_GB2312" w:hAnsi="仿宋_GB2312" w:eastAsia="仿宋_GB2312" w:cs="仿宋_GB2312"/>
          <w:color w:val="auto"/>
          <w:sz w:val="32"/>
          <w:szCs w:val="32"/>
        </w:rPr>
        <w:t>为提升教学管理与服务水平，根据“开放式教学、沉浸式体验、共享式交流、智慧式管理”的新理念，将人工智能学院教室以及公共空间改建和内部改造，建成集展示、体验、教学、创新于一体的教学空间。该项目总预算290万，于2021年4月完成招标，由浙江三石建设有限公司中标，中标价240.7万元。目前该项目已完成竣工验收并交付使用。</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4.主体育场看台雨蓬维修改造项目。</w:t>
      </w:r>
      <w:r>
        <w:rPr>
          <w:rFonts w:hint="eastAsia" w:ascii="仿宋_GB2312" w:hAnsi="仿宋_GB2312" w:eastAsia="仿宋_GB2312" w:cs="仿宋_GB2312"/>
          <w:color w:val="auto"/>
          <w:sz w:val="32"/>
          <w:szCs w:val="32"/>
        </w:rPr>
        <w:t>下沙校区主体育场看台雨蓬顶棚铝板掉落，龙骨、耳板、钢拉索严重锈蚀，存在安全隐患。项目初期预算价240万元，因看台雨蓬改造属于特种作业，要求持有相关专业许可证的施工单位来承接该项目，经多方论证探讨后追加预算50万元，共计290万元。由浙江金鑫钢结构集团有限公司以230万元中标，目前项目已完工并投入使用。</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5.教工路校区东院国教中心消防改造项目。</w:t>
      </w:r>
      <w:r>
        <w:rPr>
          <w:rFonts w:hint="eastAsia" w:ascii="仿宋_GB2312" w:hAnsi="仿宋_GB2312" w:eastAsia="仿宋_GB2312" w:cs="仿宋_GB2312"/>
          <w:color w:val="auto"/>
          <w:sz w:val="32"/>
          <w:szCs w:val="32"/>
        </w:rPr>
        <w:t>教工路校区国教中心，因投入使用年限较长，消防管线老旧，已不能适应消防要求，故需对现有泵房进行拆除，对BDF箱泵一体消防泵房和部分室外管线进行改造。项目预算金额200万元，由杭州装潢工程有限公司中标，中标价138万元。目前该项目已完成竣工验收并交付使用。</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6.钱江湾生活区学生公寓消防管网改造项目。</w:t>
      </w:r>
      <w:r>
        <w:rPr>
          <w:rFonts w:hint="eastAsia" w:ascii="仿宋_GB2312" w:hAnsi="仿宋_GB2312" w:eastAsia="仿宋_GB2312" w:cs="仿宋_GB2312"/>
          <w:color w:val="auto"/>
          <w:sz w:val="32"/>
          <w:szCs w:val="32"/>
        </w:rPr>
        <w:t>该项目为下沙校区钱江湾生活区21-34幢公寓楼消防管网室内外改造，预算60万元，工期50天。项目由杭州烨华建设有限公司以48.16万元中标，目前该项目已经完成验收并交付使用。</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二、工作改进举措</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1.规范项目立项和采购程序。学校的修缮工程项目按 《中华人民共和国政府采购法》及《浙江工商大学修缮工程管理办法》（浙商大后勤〔2021〕173号）的规定，对单项 20 万元以上项目按程序进行审批立项、项目意向公开、设计方案制定、采购执行建议书申报、招标需求编制、合同起草等工作，通过采购中心在浙江省政府采购网进行公开及公示，并进行规范招标。对单项20 万元以下的小额修缮工程项目，按省财政采购管理办法规定进行定点施工单位采购，并按学校特点进行区域划分，结合实际对维修项目制定方案，对施工质量、进度及工程造价进行监督管理，以确保满足使用部门的需求。</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2.强化项目实施过程管理。在项目的实施前做好施工公告，实施过程进行阶段控制，加强过程管理，形成科学合理的施工组织，保证工程的质量、进度和安全；规范工程变更联系单的签发程序，联系单须通过中心党政联席会及校工程维修小组讨论后，经设计、监理、施工单位确认方可签发。对按实决算部分的工程需经施工单位、监理、审计处多方认证，严格控制最终结算价。</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3.强化维修改造工作计划性。制定计划、落实审批、分步实施。明确任务目标和时限，制定改建工作计划，按计划实施各项目。每年8月份发布下一年度维修改造需求申报通知，校工程维修小组组织大型项目申报答辩，制定年度维修改造计划，并报学校会议审定。对小额维修项目，按程序经后勤中心党政联席会议、校工程维修小组会议研究决定后实施。</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4.坚持“精细化服务标准”。强调标准化、流程化、制度化管理，强调资金使用效率，将有限资源用在学校重大项目、影响面广的项目上，解决学校燃眉之</w:t>
      </w:r>
      <w:r>
        <w:rPr>
          <w:rFonts w:hint="eastAsia" w:ascii="仿宋_GB2312" w:hAnsi="仿宋_GB2312" w:eastAsia="仿宋_GB2312" w:cs="仿宋_GB2312"/>
          <w:color w:val="auto"/>
          <w:sz w:val="32"/>
          <w:szCs w:val="32"/>
        </w:rPr>
        <w:t>急。对申报的项目在录入时就更注重细化分类，如按区域（分下沙教学区、生活区、教工路校区等）、报修部门、报修种类（分：日常维修、安全类整改、应急抢修、民生改造等项目），对涉及安全、涉及面广的项目优先考虑。同时可随时根据项目经费使用情况，及时调整经费使用方案，争取维修经费使用更合理更高效。中心严格要求把项目管理工作进一步规范化、精细化，将规范服务细化到日常工作的所有阶段和环节，做到各个工作环节有制度、有计划、有实施、有检查、有改进，并形成相关记录，确保各项目能够如期保质竣工交付。</w:t>
      </w:r>
    </w:p>
    <w:p>
      <w:pPr>
        <w:pStyle w:val="33"/>
        <w:ind w:firstLine="640"/>
        <w:rPr>
          <w:rFonts w:ascii="仿宋_GB2312" w:hAnsi="仿宋_GB2312" w:eastAsia="仿宋_GB2312" w:cs="仿宋_GB2312"/>
          <w:b w:val="0"/>
          <w:bCs/>
          <w:color w:val="auto"/>
        </w:rPr>
      </w:pPr>
      <w:r>
        <w:rPr>
          <w:rFonts w:hint="eastAsia" w:ascii="仿宋_GB2312" w:hAnsi="仿宋_GB2312" w:eastAsia="仿宋_GB2312" w:cs="仿宋_GB2312"/>
          <w:b w:val="0"/>
          <w:bCs/>
          <w:color w:val="auto"/>
        </w:rPr>
        <w:t>5.加强维修改造工作安全管理。中心对工程项目安全管理落实到位，责任到人，提高相关管理人员的责任心，督查施工单位做到定时与不定时进行安全教育，发现一个问题，解决一个问题，杜绝安全隐患，确保将安全工作落到实处。</w:t>
      </w:r>
    </w:p>
    <w:p>
      <w:pPr>
        <w:pStyle w:val="33"/>
        <w:ind w:firstLine="640"/>
        <w:rPr>
          <w:rFonts w:ascii="仿宋_GB2312" w:hAnsi="仿宋_GB2312" w:eastAsia="仿宋_GB2312" w:cs="仿宋_GB2312"/>
          <w:b w:val="0"/>
          <w:bCs/>
          <w:color w:val="auto"/>
        </w:rPr>
      </w:pPr>
    </w:p>
    <w:p>
      <w:pPr>
        <w:rPr>
          <w:color w:val="auto"/>
        </w:rPr>
      </w:pPr>
      <w:r>
        <w:rPr>
          <w:color w:val="auto"/>
        </w:rPr>
        <w:br w:type="page"/>
      </w:r>
    </w:p>
    <w:p>
      <w:pPr>
        <w:pStyle w:val="3"/>
        <w:rPr>
          <w:color w:val="auto"/>
        </w:rPr>
      </w:pPr>
      <w:bookmarkStart w:id="42" w:name="_Toc5262943"/>
      <w:bookmarkStart w:id="43" w:name="_Toc103345072"/>
      <w:r>
        <w:rPr>
          <w:rFonts w:hint="eastAsia"/>
          <w:color w:val="auto"/>
        </w:rPr>
        <w:t>2021年住房购置与货币化分房、</w:t>
      </w:r>
      <w:bookmarkStart w:id="44" w:name="_Toc510517464"/>
      <w:bookmarkStart w:id="45" w:name="_Toc480461437"/>
      <w:bookmarkStart w:id="46" w:name="_Toc4139"/>
      <w:r>
        <w:rPr>
          <w:rFonts w:hint="eastAsia"/>
          <w:color w:val="auto"/>
        </w:rPr>
        <w:t>教职工宿舍</w:t>
      </w:r>
      <w:bookmarkEnd w:id="42"/>
      <w:bookmarkStart w:id="47" w:name="_Toc5089735"/>
      <w:bookmarkStart w:id="48" w:name="_Toc16159"/>
      <w:r>
        <w:rPr>
          <w:rFonts w:hint="eastAsia"/>
          <w:color w:val="auto"/>
        </w:rPr>
        <w:t>租用工作公开报告</w:t>
      </w:r>
      <w:bookmarkEnd w:id="43"/>
      <w:bookmarkEnd w:id="44"/>
      <w:bookmarkEnd w:id="45"/>
      <w:bookmarkEnd w:id="46"/>
      <w:bookmarkEnd w:id="47"/>
      <w:bookmarkEnd w:id="48"/>
    </w:p>
    <w:p>
      <w:pPr>
        <w:pStyle w:val="33"/>
        <w:ind w:firstLine="640"/>
        <w:rPr>
          <w:rFonts w:ascii="黑体" w:hAnsi="黑体" w:eastAsia="黑体" w:cs="黑体"/>
          <w:b w:val="0"/>
          <w:bCs/>
          <w:color w:val="auto"/>
        </w:rPr>
      </w:pPr>
      <w:r>
        <w:rPr>
          <w:rFonts w:hint="eastAsia" w:ascii="黑体" w:hAnsi="黑体" w:eastAsia="黑体" w:cs="黑体"/>
          <w:b w:val="0"/>
          <w:bCs/>
          <w:color w:val="auto"/>
        </w:rPr>
        <w:t>一、基本情况</w:t>
      </w:r>
    </w:p>
    <w:p>
      <w:pPr>
        <w:spacing w:line="560" w:lineRule="exact"/>
        <w:ind w:firstLine="643" w:firstLineChars="200"/>
        <w:rPr>
          <w:rFonts w:ascii="楷体_GB2312" w:hAnsi="楷体" w:eastAsia="楷体_GB2312" w:cs="楷体"/>
          <w:b/>
          <w:bCs/>
          <w:color w:val="auto"/>
          <w:sz w:val="32"/>
          <w:szCs w:val="32"/>
        </w:rPr>
      </w:pPr>
      <w:r>
        <w:rPr>
          <w:rFonts w:hint="eastAsia" w:ascii="楷体_GB2312" w:hAnsi="楷体" w:eastAsia="楷体_GB2312" w:cs="楷体"/>
          <w:b/>
          <w:bCs/>
          <w:color w:val="auto"/>
          <w:sz w:val="32"/>
          <w:szCs w:val="32"/>
        </w:rPr>
        <w:t>（一）货币化分房</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2021年度，完成71位引进人才的购房补贴启动工作；完成148名教职工的住房货币补贴</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含</w:t>
      </w:r>
      <w:r>
        <w:rPr>
          <w:rFonts w:hint="eastAsia" w:ascii="仿宋_GB2312" w:hAnsi="宋体" w:eastAsia="仿宋_GB2312"/>
          <w:color w:val="auto"/>
          <w:sz w:val="32"/>
          <w:szCs w:val="32"/>
        </w:rPr>
        <w:t>一次性补贴</w:t>
      </w:r>
      <w:r>
        <w:rPr>
          <w:rFonts w:hint="eastAsia" w:ascii="仿宋_GB2312" w:hAnsi="宋体" w:eastAsia="仿宋_GB2312"/>
          <w:color w:val="auto"/>
          <w:sz w:val="32"/>
          <w:szCs w:val="32"/>
          <w:lang w:val="en-US" w:eastAsia="zh-CN"/>
        </w:rPr>
        <w:t>和</w:t>
      </w:r>
      <w:r>
        <w:rPr>
          <w:rFonts w:hint="eastAsia" w:ascii="仿宋_GB2312" w:hAnsi="宋体" w:eastAsia="仿宋_GB2312"/>
          <w:color w:val="auto"/>
          <w:sz w:val="32"/>
          <w:szCs w:val="32"/>
        </w:rPr>
        <w:t>住房公积金补贴</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新申请或职级晋升调整工作。</w:t>
      </w:r>
    </w:p>
    <w:p>
      <w:pPr>
        <w:spacing w:line="560" w:lineRule="exact"/>
        <w:ind w:firstLine="643" w:firstLineChars="200"/>
        <w:rPr>
          <w:rFonts w:ascii="楷体_GB2312" w:hAnsi="楷体" w:eastAsia="楷体_GB2312" w:cs="楷体"/>
          <w:b/>
          <w:bCs/>
          <w:color w:val="auto"/>
          <w:sz w:val="32"/>
          <w:szCs w:val="32"/>
        </w:rPr>
      </w:pPr>
      <w:r>
        <w:rPr>
          <w:rFonts w:hint="eastAsia" w:ascii="楷体_GB2312" w:hAnsi="楷体" w:eastAsia="楷体_GB2312" w:cs="楷体"/>
          <w:b/>
          <w:bCs/>
          <w:color w:val="auto"/>
          <w:sz w:val="32"/>
          <w:szCs w:val="32"/>
        </w:rPr>
        <w:t>（二）教职工宿舍租用</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2021年度，受理学校周转房（含市区套房、丽泽苑教职工宿舍、校内教职工集体宿舍）入住申请共计156人次。</w:t>
      </w:r>
    </w:p>
    <w:p>
      <w:pPr>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（三）住房购置</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2021年度，受理专用房申购申请1人次，为金沙学府预留房。</w:t>
      </w:r>
    </w:p>
    <w:p>
      <w:pPr>
        <w:pStyle w:val="33"/>
        <w:ind w:firstLine="640"/>
        <w:rPr>
          <w:rFonts w:ascii="黑体" w:hAnsi="黑体" w:eastAsia="黑体" w:cs="黑体"/>
          <w:b w:val="0"/>
          <w:bCs/>
          <w:color w:val="auto"/>
        </w:rPr>
      </w:pPr>
      <w:r>
        <w:rPr>
          <w:rFonts w:hint="eastAsia" w:ascii="黑体" w:hAnsi="黑体" w:eastAsia="黑体" w:cs="黑体"/>
          <w:b w:val="0"/>
          <w:bCs/>
          <w:color w:val="auto"/>
        </w:rPr>
        <w:t>二、工作措施</w:t>
      </w:r>
    </w:p>
    <w:p>
      <w:pPr>
        <w:spacing w:line="560" w:lineRule="exact"/>
        <w:ind w:firstLine="643" w:firstLineChars="200"/>
        <w:rPr>
          <w:rFonts w:ascii="楷体_GB2312" w:hAnsi="楷体" w:eastAsia="楷体_GB2312" w:cs="楷体"/>
          <w:b/>
          <w:bCs/>
          <w:color w:val="auto"/>
          <w:sz w:val="32"/>
          <w:szCs w:val="32"/>
        </w:rPr>
      </w:pPr>
      <w:r>
        <w:rPr>
          <w:rFonts w:hint="eastAsia" w:ascii="楷体_GB2312" w:hAnsi="楷体" w:eastAsia="楷体_GB2312" w:cs="楷体"/>
          <w:b/>
          <w:bCs/>
          <w:color w:val="auto"/>
          <w:sz w:val="32"/>
          <w:szCs w:val="32"/>
        </w:rPr>
        <w:t>（一）货币化分房公开措施</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w:t>
      </w:r>
      <w:r>
        <w:rPr>
          <w:rFonts w:ascii="楷体_GB2312" w:eastAsia="楷体_GB2312"/>
          <w:color w:val="auto"/>
          <w:sz w:val="32"/>
          <w:szCs w:val="32"/>
        </w:rPr>
        <w:t>.</w:t>
      </w:r>
      <w:r>
        <w:rPr>
          <w:rFonts w:hint="eastAsia" w:ascii="楷体_GB2312" w:eastAsia="楷体_GB2312"/>
          <w:color w:val="auto"/>
          <w:sz w:val="32"/>
          <w:szCs w:val="32"/>
        </w:rPr>
        <w:t>依据：</w:t>
      </w:r>
      <w:r>
        <w:rPr>
          <w:rFonts w:hint="eastAsia" w:ascii="仿宋_GB2312" w:hAnsi="宋体" w:eastAsia="仿宋_GB2312"/>
          <w:color w:val="auto"/>
          <w:sz w:val="32"/>
          <w:szCs w:val="32"/>
        </w:rPr>
        <w:t>《关于省直财政补助事业单位职工住房补贴发放工作的实施意见》（浙财综字〔2007〕96号）、浙江省省直属单位住房改革委员会《关于住房公积金补贴发放有关规定的通知》（浙直房发〔2002〕5号）、《浙江省省直属单位（杭州市市区）住房补贴资金筹集、拨付和管理暂行办法》（省直房发〔2001〕1号）及学校相关会议纪要决议等有关文件。</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2.公开措施：根据上级文件要求和学校相关文件精神，2021年9月，通过校内办公网发布《关于办理20</w:t>
      </w:r>
      <w:r>
        <w:rPr>
          <w:rFonts w:ascii="仿宋_GB2312" w:hAnsi="宋体" w:eastAsia="仿宋_GB2312"/>
          <w:color w:val="auto"/>
          <w:sz w:val="32"/>
          <w:szCs w:val="32"/>
        </w:rPr>
        <w:t>20</w:t>
      </w:r>
      <w:r>
        <w:rPr>
          <w:rFonts w:hint="eastAsia" w:ascii="仿宋_GB2312" w:hAnsi="宋体" w:eastAsia="仿宋_GB2312"/>
          <w:color w:val="auto"/>
          <w:sz w:val="32"/>
          <w:szCs w:val="32"/>
        </w:rPr>
        <w:t>年度一次性住房货币补贴和住房公积金补贴申请有关事项的通知》，通过师生之家微信公众号发布《浙江工商大学住房补贴申请指南》，及时向教职工公开各类补贴申请程序及要求；并严格审核申请材料，通过公示后上报上级主管部门审批。</w:t>
      </w:r>
    </w:p>
    <w:p>
      <w:pPr>
        <w:spacing w:line="560" w:lineRule="exact"/>
        <w:ind w:firstLine="643" w:firstLineChars="200"/>
        <w:rPr>
          <w:rFonts w:ascii="楷体_GB2312" w:hAnsi="楷体" w:eastAsia="楷体_GB2312" w:cs="楷体"/>
          <w:b/>
          <w:bCs/>
          <w:color w:val="auto"/>
          <w:sz w:val="32"/>
          <w:szCs w:val="32"/>
        </w:rPr>
      </w:pPr>
      <w:r>
        <w:rPr>
          <w:rFonts w:hint="eastAsia" w:ascii="楷体_GB2312" w:hAnsi="楷体" w:eastAsia="楷体_GB2312" w:cs="楷体"/>
          <w:b/>
          <w:bCs/>
          <w:color w:val="auto"/>
          <w:sz w:val="32"/>
          <w:szCs w:val="32"/>
        </w:rPr>
        <w:t>（二）教职工宿舍租用公开措施</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1</w:t>
      </w:r>
      <w:r>
        <w:rPr>
          <w:rFonts w:ascii="楷体_GB2312" w:eastAsia="楷体_GB2312"/>
          <w:color w:val="auto"/>
          <w:sz w:val="32"/>
          <w:szCs w:val="32"/>
        </w:rPr>
        <w:t>.</w:t>
      </w:r>
      <w:r>
        <w:rPr>
          <w:rFonts w:hint="eastAsia"/>
          <w:color w:val="auto"/>
        </w:rPr>
        <w:t xml:space="preserve"> </w:t>
      </w:r>
      <w:r>
        <w:rPr>
          <w:rFonts w:hint="eastAsia" w:ascii="仿宋_GB2312" w:hAnsi="宋体" w:eastAsia="仿宋_GB2312"/>
          <w:color w:val="auto"/>
          <w:sz w:val="32"/>
          <w:szCs w:val="32"/>
        </w:rPr>
        <w:t>严格按照《浙江工商大学周转房管理办法》（</w:t>
      </w:r>
      <w:bookmarkStart w:id="49" w:name="文号"/>
      <w:r>
        <w:rPr>
          <w:rFonts w:hint="eastAsia" w:ascii="仿宋_GB2312" w:hAnsi="宋体" w:eastAsia="仿宋_GB2312"/>
          <w:color w:val="auto"/>
          <w:sz w:val="32"/>
          <w:szCs w:val="32"/>
        </w:rPr>
        <w:t>浙商大公管〔2018〕226号</w:t>
      </w:r>
      <w:bookmarkEnd w:id="49"/>
      <w:r>
        <w:rPr>
          <w:rFonts w:hint="eastAsia" w:ascii="仿宋_GB2312" w:hAnsi="宋体" w:eastAsia="仿宋_GB2312"/>
          <w:color w:val="auto"/>
          <w:sz w:val="32"/>
          <w:szCs w:val="32"/>
        </w:rPr>
        <w:t>）和相关文件精神，受理各类租房申请，严格审核申请材料，并对符合基准价租住的申请人材料通过部门处务公开栏、房产信息管理系统等方式进行公示。</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2</w:t>
      </w:r>
      <w:r>
        <w:rPr>
          <w:rFonts w:ascii="仿宋_GB2312" w:hAnsi="宋体" w:eastAsia="仿宋_GB2312"/>
          <w:color w:val="auto"/>
          <w:sz w:val="32"/>
          <w:szCs w:val="32"/>
        </w:rPr>
        <w:t>.</w:t>
      </w:r>
      <w:r>
        <w:rPr>
          <w:rFonts w:hint="eastAsia" w:ascii="仿宋_GB2312" w:hAnsi="宋体" w:eastAsia="仿宋_GB2312"/>
          <w:color w:val="auto"/>
          <w:sz w:val="32"/>
          <w:szCs w:val="32"/>
        </w:rPr>
        <w:t>2020年12月，学校组织开展了2次集体宿舍和丽泽苑管理优化工作座谈会，向相关租住人员解答学校周转房管理中的常见问题，听取租住人员对周转房管理的意见与建议。</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3.2020年12月，学校调整了丽泽苑准入条件，相关政策调整方案由学校房产管理部门通过短信、电话等方式通知到相关人员。</w:t>
      </w:r>
    </w:p>
    <w:p>
      <w:pPr>
        <w:spacing w:line="560" w:lineRule="exact"/>
        <w:ind w:firstLine="643" w:firstLineChars="200"/>
        <w:rPr>
          <w:rFonts w:ascii="楷体_GB2312" w:hAnsi="楷体" w:eastAsia="楷体_GB2312" w:cs="楷体"/>
          <w:b/>
          <w:bCs/>
          <w:color w:val="auto"/>
          <w:sz w:val="32"/>
          <w:szCs w:val="32"/>
        </w:rPr>
      </w:pPr>
      <w:r>
        <w:rPr>
          <w:rFonts w:hint="eastAsia" w:ascii="楷体_GB2312" w:hAnsi="楷体" w:eastAsia="楷体_GB2312" w:cs="楷体"/>
          <w:b/>
          <w:bCs/>
          <w:color w:val="auto"/>
          <w:sz w:val="32"/>
          <w:szCs w:val="32"/>
        </w:rPr>
        <w:t>（三）住房购置公开措施</w:t>
      </w:r>
    </w:p>
    <w:p>
      <w:pPr>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严格执行上级售房办法和学校相关文件决议，审核申请人购房资格，并按照规定程序在校内办公网公示申请人相关信息，接受全校监督。</w:t>
      </w:r>
    </w:p>
    <w:p>
      <w:pPr>
        <w:rPr>
          <w:color w:val="auto"/>
        </w:rPr>
      </w:pPr>
      <w:r>
        <w:rPr>
          <w:color w:val="auto"/>
        </w:rPr>
        <w:br w:type="page"/>
      </w:r>
    </w:p>
    <w:p>
      <w:pPr>
        <w:pStyle w:val="3"/>
        <w:rPr>
          <w:color w:val="auto"/>
        </w:rPr>
      </w:pPr>
      <w:bookmarkStart w:id="50" w:name="_Toc103345073"/>
      <w:r>
        <w:rPr>
          <w:rFonts w:hint="eastAsia"/>
          <w:color w:val="auto"/>
        </w:rPr>
        <w:t>2021年出租房工作公开报告</w:t>
      </w:r>
      <w:bookmarkEnd w:id="50"/>
    </w:p>
    <w:p>
      <w:pPr>
        <w:spacing w:line="560" w:lineRule="exact"/>
        <w:rPr>
          <w:rFonts w:ascii="黑体" w:hAnsi="黑体" w:eastAsia="黑体"/>
          <w:color w:val="auto"/>
          <w:sz w:val="32"/>
          <w:szCs w:val="32"/>
        </w:rPr>
      </w:pPr>
      <w:r>
        <w:rPr>
          <w:rFonts w:hint="eastAsia" w:ascii="黑体" w:hAnsi="黑体" w:eastAsia="黑体"/>
          <w:color w:val="auto"/>
          <w:sz w:val="32"/>
          <w:szCs w:val="32"/>
        </w:rPr>
        <w:t>一、基本情况</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我校出租房分为教工路校区和下沙校区两部分，总建筑面积为79468.11平方米，其中教工路校区部分61412.87平方米，下沙校区部分18055.24平方米。</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2021年出租房收入为4519.21万元（不含疫情租金减免248.47万元），与2020年基本持平。</w:t>
      </w:r>
    </w:p>
    <w:p>
      <w:pPr>
        <w:spacing w:line="560" w:lineRule="exact"/>
        <w:rPr>
          <w:rFonts w:ascii="黑体" w:hAnsi="黑体" w:eastAsia="黑体"/>
          <w:color w:val="auto"/>
          <w:sz w:val="32"/>
          <w:szCs w:val="32"/>
        </w:rPr>
      </w:pPr>
      <w:r>
        <w:rPr>
          <w:rFonts w:hint="eastAsia" w:ascii="黑体" w:hAnsi="黑体" w:eastAsia="黑体"/>
          <w:color w:val="auto"/>
          <w:sz w:val="32"/>
          <w:szCs w:val="32"/>
        </w:rPr>
        <w:t>二、工作措施</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1.完善内部管理制度。本年度修订完善了《出租房装修管理细则》《变更出租房经营业态暂行规定》《出租房转租认定及处理办法》等文件，进一步规范出租房制度管理。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不断改进招租模式，提高招租成效。通过招租预公告、网站发布、微信推广等形式拓展招商渠道，合理制定招租计划，减少空置用房。2021年6月起，学校委托浙江省产权交易中心开展出租房挂牌租赁工作，形成了挂牌租赁为主、竞争性磋商为辅，以及校内房屋有偿使用等完整、合规的租赁模式。2021年，累计完成8个批次的出租房招租工作，完成招租项目35个，其中到期续租20项，空置用房招租15项。空置用房面积减少2000多平方米。</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配合完成各类巡视、审计和出租房自查自纠工作。根据省教育厅和财政厅要求，开展国有房产、土地出租管理自查自纠工作和省级行政事业单位国有房产、土地出租管理情况专项检查工作。系统梳理2018年至2020年期间近6</w:t>
      </w:r>
      <w:r>
        <w:rPr>
          <w:rFonts w:ascii="仿宋_GB2312" w:eastAsia="仿宋_GB2312"/>
          <w:color w:val="auto"/>
          <w:sz w:val="32"/>
          <w:szCs w:val="32"/>
        </w:rPr>
        <w:t>00</w:t>
      </w:r>
      <w:r>
        <w:rPr>
          <w:rFonts w:hint="eastAsia" w:ascii="仿宋_GB2312" w:eastAsia="仿宋_GB2312"/>
          <w:color w:val="auto"/>
          <w:sz w:val="32"/>
          <w:szCs w:val="32"/>
        </w:rPr>
        <w:t>条出租房管理过程中各类租赁协议执行情况、招租及日常管理情况，涉及租金金额1.4亿。配合完成省委巡视组各项工作，共搜集、整理2016年至2021年房屋出租合同459份，汇总表格4组，未收到整改通知和要求。</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提升校园消费环境治理水平，打造公平和谐的消费秩序。配合白杨市场监督管理所开展2021年度放心消费后评价工作，共计30余家商铺获批为放心消费单位和无理由退货单位。并根据钱塘区防疫要求，配合街道做好下沙沿街出租房11家便利店、超市、饮品店实行进店防疫“一店一码”的信息收集统计、申报工作。</w:t>
      </w:r>
    </w:p>
    <w:p>
      <w:pPr>
        <w:rPr>
          <w:color w:val="auto"/>
        </w:rPr>
      </w:pPr>
      <w:r>
        <w:rPr>
          <w:color w:val="auto"/>
        </w:rPr>
        <w:br w:type="page"/>
      </w:r>
    </w:p>
    <w:p>
      <w:pPr>
        <w:pStyle w:val="3"/>
        <w:rPr>
          <w:color w:val="auto"/>
          <w:shd w:val="clear" w:color="auto" w:fill="FFFFFF"/>
        </w:rPr>
      </w:pPr>
      <w:bookmarkStart w:id="51" w:name="_Toc103345074"/>
      <w:r>
        <w:rPr>
          <w:rFonts w:hint="eastAsia"/>
          <w:color w:val="auto"/>
        </w:rPr>
        <w:t>2021年推进数字高校建设工作公开报告</w:t>
      </w:r>
      <w:bookmarkEnd w:id="51"/>
    </w:p>
    <w:p>
      <w:pPr>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为深入贯彻落实“数字中国”和“教育强国”战略，浙江工商大学以习近平新时代中国特色社会主义思想为指导，主动顺应信息技术革命对高等教育的深刻影响，于2020年9月正式启动“数字高校”工程。</w:t>
      </w:r>
    </w:p>
    <w:p>
      <w:pPr>
        <w:spacing w:line="560" w:lineRule="exact"/>
        <w:ind w:firstLine="615"/>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2021年度，</w:t>
      </w:r>
      <w:r>
        <w:rPr>
          <w:rFonts w:hint="eastAsia" w:ascii="仿宋_GB2312" w:hAnsi="仿宋" w:eastAsia="仿宋_GB2312"/>
          <w:color w:val="auto"/>
          <w:sz w:val="32"/>
          <w:szCs w:val="32"/>
        </w:rPr>
        <w:t>学校与阿里云、浙移集成等公司签署战略合作协议，在学校原有数字化基础上，初步建成校级公共数据平台，结合战略布局和具体实际，利用社会公共数据，妥善梳理校内各项业务、过程、数据，重点研究并实施学生成长、教师发展、学校治理、校友服务四类多跨应用场景，全方位、一体化地推动学校整体数字化改革的步伐</w:t>
      </w:r>
      <w:r>
        <w:rPr>
          <w:rFonts w:hint="eastAsia" w:ascii="仿宋_GB2312" w:hAnsi="仿宋_GB2312" w:eastAsia="仿宋_GB2312" w:cs="仿宋_GB2312"/>
          <w:color w:val="auto"/>
          <w:sz w:val="32"/>
          <w:szCs w:val="32"/>
          <w:shd w:val="clear" w:color="auto" w:fill="FFFFFF"/>
        </w:rPr>
        <w:t>。</w:t>
      </w:r>
    </w:p>
    <w:p>
      <w:pPr>
        <w:spacing w:line="560" w:lineRule="exact"/>
        <w:ind w:firstLine="615"/>
        <w:rPr>
          <w:rFonts w:ascii="黑体" w:hAnsi="黑体" w:eastAsia="黑体" w:cs="黑体"/>
          <w:color w:val="auto"/>
          <w:sz w:val="32"/>
          <w:szCs w:val="32"/>
        </w:rPr>
      </w:pPr>
      <w:r>
        <w:rPr>
          <w:rFonts w:hint="eastAsia" w:ascii="黑体" w:hAnsi="黑体" w:eastAsia="黑体" w:cs="黑体"/>
          <w:color w:val="auto"/>
          <w:sz w:val="32"/>
          <w:szCs w:val="32"/>
        </w:rPr>
        <w:t>一、数字化改革工作顶层设计</w:t>
      </w:r>
    </w:p>
    <w:p>
      <w:pPr>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学校建立了以书记校长为双组长，各部门、学院负责人为成员的数字化改革工作领导小组。小组下设数字化改革办公室，由学校办公室严毛新兼任办公室主任，规划处徐越倩、机关党委陈世伟、数字化办公室徐斌、学校办公室“最多跑一次”工作分管负责人郑晶玮兼任副主任，发布了数字高校“十四五”发展规划，整体推进学校数字化改革工作。</w:t>
      </w:r>
    </w:p>
    <w:p>
      <w:pPr>
        <w:spacing w:line="560" w:lineRule="exact"/>
        <w:ind w:firstLine="615"/>
        <w:rPr>
          <w:rFonts w:ascii="黑体" w:hAnsi="黑体" w:eastAsia="黑体" w:cs="黑体"/>
          <w:bCs/>
          <w:color w:val="auto"/>
          <w:sz w:val="32"/>
          <w:szCs w:val="32"/>
        </w:rPr>
      </w:pPr>
      <w:r>
        <w:rPr>
          <w:rFonts w:hint="eastAsia" w:ascii="黑体" w:hAnsi="黑体" w:eastAsia="黑体" w:cs="黑体"/>
          <w:bCs/>
          <w:color w:val="auto"/>
          <w:sz w:val="32"/>
          <w:szCs w:val="32"/>
        </w:rPr>
        <w:t>二、数字高校专班建设</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为了有效支撑数字化改革工作，学校设立了数字高校专班，发布了数字高校“十四五”发展规划，专班下设4个重点小组和若干单项工作小组，积极推进对应的场景开发工作。若无特殊情况，数字高校专班每周召开一次会议，各小组组长汇报各自工作情况，专班进行讨论并提出有关建议。2021年度，专班共编发工作简报</w:t>
      </w:r>
      <w:r>
        <w:rPr>
          <w:rFonts w:ascii="仿宋_GB2312" w:hAnsi="仿宋" w:eastAsia="仿宋_GB2312"/>
          <w:color w:val="auto"/>
          <w:sz w:val="32"/>
          <w:szCs w:val="32"/>
        </w:rPr>
        <w:t>21</w:t>
      </w:r>
      <w:r>
        <w:rPr>
          <w:rFonts w:hint="eastAsia" w:ascii="仿宋_GB2312" w:hAnsi="仿宋" w:eastAsia="仿宋_GB2312"/>
          <w:color w:val="auto"/>
          <w:sz w:val="32"/>
          <w:szCs w:val="32"/>
        </w:rPr>
        <w:t>期，抄送各位校领导和有关中层干部。</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数字高校专班认真研读省委省政府各项工作部署文件，积极对接教育厅教育魔方、智慧思政等试点工程，积极申报并获批教育领域数字化改革第一批创新试点项目、浙江省教育厅智慧思政试点项目，目前正在稳步积极推进，已经产出“一码通办”等具体便民举措，提出“仓流合一”的数字化改革新理念，给兄弟高校提供示范。</w:t>
      </w:r>
    </w:p>
    <w:p>
      <w:pPr>
        <w:spacing w:line="560" w:lineRule="exact"/>
        <w:ind w:firstLine="615"/>
        <w:rPr>
          <w:rFonts w:ascii="仿宋_GB2312" w:hAnsi="仿宋" w:eastAsia="仿宋_GB2312"/>
          <w:color w:val="auto"/>
          <w:sz w:val="32"/>
          <w:szCs w:val="32"/>
        </w:rPr>
      </w:pPr>
      <w:r>
        <w:rPr>
          <w:rFonts w:hint="eastAsia" w:ascii="黑体" w:hAnsi="黑体" w:eastAsia="黑体" w:cs="黑体"/>
          <w:color w:val="auto"/>
          <w:sz w:val="32"/>
          <w:szCs w:val="32"/>
        </w:rPr>
        <w:t>三、数字高校具体工作推进</w:t>
      </w:r>
    </w:p>
    <w:p>
      <w:pPr>
        <w:spacing w:line="560" w:lineRule="exact"/>
        <w:ind w:firstLine="615"/>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学校数字化改革专班围绕高校治理中的关键难点、痛点，全面梳理各项中心工作业务流程，以数字化改革全面探索提升高校立德树人、科学研究、社会服务和文化传承等工作，逐步形成了一系列实践成果和经验。</w:t>
      </w:r>
    </w:p>
    <w:p>
      <w:pPr>
        <w:spacing w:line="560" w:lineRule="exact"/>
        <w:ind w:firstLine="641"/>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shd w:val="clear" w:color="auto" w:fill="FFFFFF"/>
        </w:rPr>
        <w:t>（一）学校数字化改革的基本目标</w:t>
      </w:r>
    </w:p>
    <w:p>
      <w:pPr>
        <w:spacing w:line="560" w:lineRule="exact"/>
        <w:ind w:firstLine="64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学校数字化改革的基本目标是：以数字化改革推动师生办事便捷化、校园治理智能化，为各项中心工作赋能，引领未来大学建设，推动中国特色大学治理体系和治理能力现代化。</w:t>
      </w:r>
    </w:p>
    <w:p>
      <w:pPr>
        <w:spacing w:line="560" w:lineRule="exact"/>
        <w:ind w:firstLine="641"/>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1.推动师生办事便捷化。</w:t>
      </w:r>
      <w:r>
        <w:rPr>
          <w:rFonts w:hint="eastAsia" w:ascii="仿宋_GB2312" w:hAnsi="仿宋_GB2312" w:eastAsia="仿宋_GB2312" w:cs="仿宋_GB2312"/>
          <w:color w:val="auto"/>
          <w:sz w:val="32"/>
          <w:szCs w:val="32"/>
          <w:shd w:val="clear" w:color="auto" w:fill="FFFFFF"/>
        </w:rPr>
        <w:t>搭建消息中心、资讯中心、事件中心、大数据仓系统等基础架构，打通校内各业务系统，逐步实现教工考核免填表等“一次填报”功能，精心打造“我的商大APP”，夯实线上、线下、掌上、自助四位一体的教育“一件事”办公办事环境。</w:t>
      </w:r>
    </w:p>
    <w:p>
      <w:pPr>
        <w:spacing w:line="560" w:lineRule="exact"/>
        <w:ind w:firstLine="641"/>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2.促进校园治理智能化。</w:t>
      </w:r>
      <w:r>
        <w:rPr>
          <w:rFonts w:hint="eastAsia" w:ascii="仿宋_GB2312" w:hAnsi="仿宋_GB2312" w:eastAsia="仿宋_GB2312" w:cs="仿宋_GB2312"/>
          <w:color w:val="auto"/>
          <w:sz w:val="32"/>
          <w:szCs w:val="32"/>
          <w:shd w:val="clear" w:color="auto" w:fill="FFFFFF"/>
        </w:rPr>
        <w:t>以一体化思维建立人-财-物-事多维高校数字资源库，支撑“仓流合一”、虚实交融的分布式协同物联数据、业务数据实时采集和治理；基于大数据、人工智能等数字化技术，提供实时监控、现状评估、趋势分析、结果预测预判等功能，实现角色场景互动、网状业务互联、分层决策支持的智治“一张图”示范应用和智慧化应用；打造技术、管理、合作、服务等生态，迭代、增量推动校园治理智能化。全面优化高校治理的全闭环链条，为决策管理提供全数据分析。</w:t>
      </w:r>
    </w:p>
    <w:p>
      <w:pPr>
        <w:spacing w:line="560" w:lineRule="exact"/>
        <w:ind w:firstLine="641"/>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3.探索未来大学新形态。</w:t>
      </w:r>
      <w:r>
        <w:rPr>
          <w:rFonts w:hint="eastAsia" w:ascii="仿宋_GB2312" w:hAnsi="仿宋_GB2312" w:eastAsia="仿宋_GB2312" w:cs="仿宋_GB2312"/>
          <w:color w:val="auto"/>
          <w:sz w:val="32"/>
          <w:szCs w:val="32"/>
        </w:rPr>
        <w:t>不断丰富学校各项工作数字化应用场景，以数字赋能教学、科研、社会服务、文化传承传播和国际交流等中心工作，使数字化成为校园治理中的常态化情景。加大数字资源和数字资产积累，以数字化推动开放大学建设，助力终身学习型社会建设，服务国家和区域经济社会发展。</w:t>
      </w:r>
    </w:p>
    <w:p>
      <w:pPr>
        <w:spacing w:line="560" w:lineRule="exact"/>
        <w:ind w:firstLine="641"/>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（二）学校数字化改革的整体架构</w:t>
      </w:r>
    </w:p>
    <w:p>
      <w:pPr>
        <w:spacing w:line="560" w:lineRule="exact"/>
        <w:ind w:firstLine="64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针对高校数字化基础工作薄弱、数据标准缺失以及整体规划统筹度不高等普遍问题和短板，学校全面梳理各类事务性工作场景和现有数据系统，围绕学校工作核心业务流程整合和链接现有数据系统，从顶层设计角度提出“</w:t>
      </w:r>
      <w:r>
        <w:rPr>
          <w:rFonts w:hint="eastAsia" w:ascii="仿宋_GB2312" w:hAnsi="仿宋_GB2312" w:eastAsia="仿宋_GB2312" w:cs="仿宋_GB2312"/>
          <w:b/>
          <w:color w:val="auto"/>
          <w:sz w:val="32"/>
          <w:szCs w:val="32"/>
          <w:shd w:val="clear" w:color="auto" w:fill="FFFFFF"/>
        </w:rPr>
        <w:t>一事一库一图一生态</w:t>
      </w:r>
      <w:r>
        <w:rPr>
          <w:rFonts w:hint="eastAsia" w:ascii="仿宋_GB2312" w:hAnsi="仿宋_GB2312" w:eastAsia="仿宋_GB2312" w:cs="仿宋_GB2312"/>
          <w:color w:val="auto"/>
          <w:sz w:val="32"/>
          <w:szCs w:val="32"/>
          <w:shd w:val="clear" w:color="auto" w:fill="FFFFFF"/>
        </w:rPr>
        <w:t>”的数字化改革整体框架。</w:t>
      </w:r>
    </w:p>
    <w:p>
      <w:pPr>
        <w:spacing w:line="560" w:lineRule="exact"/>
        <w:ind w:firstLine="641"/>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一事：</w:t>
      </w:r>
      <w:r>
        <w:rPr>
          <w:rFonts w:hint="eastAsia" w:ascii="仿宋_GB2312" w:hAnsi="仿宋_GB2312" w:eastAsia="仿宋_GB2312" w:cs="仿宋_GB2312"/>
          <w:color w:val="auto"/>
          <w:sz w:val="32"/>
          <w:szCs w:val="32"/>
          <w:shd w:val="clear" w:color="auto" w:fill="FFFFFF"/>
        </w:rPr>
        <w:t>坚持以师生为中心，全方位梳理师生各类需求，着力打造服务学生成长生命全周期和教师职业发展生命全周期业务支撑链条，升华“最多跑一次”改革思路，统筹推出“师生一件事”，优化师生办事流程。</w:t>
      </w:r>
    </w:p>
    <w:p>
      <w:pPr>
        <w:spacing w:line="560" w:lineRule="exact"/>
        <w:ind w:firstLine="641"/>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一库：</w:t>
      </w:r>
      <w:r>
        <w:rPr>
          <w:rFonts w:hint="eastAsia" w:ascii="仿宋_GB2312" w:hAnsi="仿宋_GB2312" w:eastAsia="仿宋_GB2312" w:cs="仿宋_GB2312"/>
          <w:color w:val="auto"/>
          <w:sz w:val="32"/>
          <w:szCs w:val="32"/>
          <w:shd w:val="clear" w:color="auto" w:fill="FFFFFF"/>
        </w:rPr>
        <w:t>在一体化智能化数据平台建设基础上，对接省级平台，构建省-校-院-系-人多级数据规范；累积高校数据资产，提升并发布分布式事件处理和协同处置能力，推进业务数据实时开放、共享，推动校内外流程直达，构建各类场景应用，实现师生办事办公直达。</w:t>
      </w:r>
    </w:p>
    <w:p>
      <w:pPr>
        <w:spacing w:line="560" w:lineRule="exact"/>
        <w:ind w:firstLine="641"/>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一图：</w:t>
      </w:r>
      <w:r>
        <w:rPr>
          <w:rFonts w:hint="eastAsia" w:ascii="仿宋_GB2312" w:hAnsi="仿宋_GB2312" w:eastAsia="仿宋_GB2312" w:cs="仿宋_GB2312"/>
          <w:color w:val="auto"/>
          <w:sz w:val="32"/>
          <w:szCs w:val="32"/>
          <w:shd w:val="clear" w:color="auto" w:fill="FFFFFF"/>
        </w:rPr>
        <w:t>对接省级平台，建设教育智治一张图，加强多源数据关联整合，增强决策与管理、服务的关联度，以大数据优化学校决策流程和能力，改善高校治理水平，推进关联分析、综合指挥、趋势预测等综合应用，为基于大数据分析的“教育一件事”提供主动服务。</w:t>
      </w:r>
    </w:p>
    <w:p>
      <w:pPr>
        <w:spacing w:line="560" w:lineRule="exact"/>
        <w:ind w:firstLine="641"/>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一生态：</w:t>
      </w:r>
      <w:r>
        <w:rPr>
          <w:rFonts w:hint="eastAsia" w:ascii="仿宋_GB2312" w:hAnsi="仿宋_GB2312" w:eastAsia="仿宋_GB2312" w:cs="仿宋_GB2312"/>
          <w:color w:val="auto"/>
          <w:sz w:val="32"/>
          <w:szCs w:val="32"/>
          <w:shd w:val="clear" w:color="auto" w:fill="FFFFFF"/>
        </w:rPr>
        <w:t>形成技术、管理、合作、服务等生态，迭代、增量推动数字高校发展。一事、一库、一图既是一个递进的过程，又形成两个闭环。一生态提供评价、分析、改进的机制，从技术、管理、合作、服务等维度构成演化生态，形成一个大闭环。</w:t>
      </w:r>
    </w:p>
    <w:p>
      <w:pPr>
        <w:spacing w:line="560" w:lineRule="exact"/>
        <w:ind w:firstLine="641"/>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(三）学校数字化改革的平台场景设计</w:t>
      </w:r>
    </w:p>
    <w:p>
      <w:p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根据学校数字化改革基本目标和整体架构，探索形成了“1+4”的具体数字化治理平台场景。</w:t>
      </w:r>
    </w:p>
    <w:p>
      <w:pPr>
        <w:spacing w:line="560" w:lineRule="exact"/>
        <w:ind w:firstLine="641"/>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shd w:val="clear" w:color="auto" w:fill="FFFFFF"/>
        </w:rPr>
        <w:t>1.建设一个智能一体化数据平台</w:t>
      </w:r>
    </w:p>
    <w:p>
      <w:pPr>
        <w:spacing w:line="560" w:lineRule="exact"/>
        <w:ind w:firstLine="64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学校面向各级部门业务系统，建立基于数据空间与数据管道的学校大数据仓，加快5G、WiFi6、IPv6等技术应用，实现监控、门禁、传感器、电器等物联终端集成整合，实现教育数据无感采集、动态汇聚、智能治理、授权使用。基于业务、数据标准化工作，确立以人与机构为核心的统一赋码体系，将教育数据逐步转换为数据服务能力，建立起数据所有单位、使用单位与应用服务提供单位之间的对等共享通道，推动通过第三方教育数字化应用的数据回归学校，以教育数据充分共享支撑学校数字化改革。</w:t>
      </w:r>
    </w:p>
    <w:p>
      <w:pPr>
        <w:spacing w:line="560" w:lineRule="exact"/>
        <w:ind w:firstLine="641"/>
        <w:rPr>
          <w:rFonts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2.形成了四大多跨业务场景</w:t>
      </w:r>
    </w:p>
    <w:p>
      <w:pPr>
        <w:spacing w:line="560" w:lineRule="exact"/>
        <w:ind w:firstLine="64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按照学校各项业务职能，梳理细化核心业务，编制业务图谱，明确业务间协同关系，优化再造业务流程，推动学生成长、教师发展、纵向智治、校友与社会服务等四大多跨场景应用创新。</w:t>
      </w:r>
    </w:p>
    <w:p>
      <w:pPr>
        <w:numPr>
          <w:ilvl w:val="0"/>
          <w:numId w:val="3"/>
        </w:numPr>
        <w:spacing w:line="560" w:lineRule="exact"/>
        <w:ind w:firstLine="641"/>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学生成长多跨场景。</w:t>
      </w:r>
      <w:r>
        <w:rPr>
          <w:rFonts w:hint="eastAsia" w:ascii="仿宋_GB2312" w:hAnsi="仿宋_GB2312" w:eastAsia="仿宋_GB2312" w:cs="仿宋_GB2312"/>
          <w:color w:val="auto"/>
          <w:sz w:val="32"/>
          <w:szCs w:val="32"/>
          <w:shd w:val="clear" w:color="auto" w:fill="FFFFFF"/>
        </w:rPr>
        <w:t>专班由学生处为组长单位，研究落实立德树人根本任务，坚持“以学生为中心”理念，服务学生成长全生命周期，建设学生成长主题数据仓，构建学生成长数字档案，记录学生在学校的奋斗、充实、收获和平安的成长历程。按照“大场景、小切口”的思路，从学生进入校园、到教室、到图书馆、到宿舍，串连一个个具体场景，重构学生事务管理应用，形成了“精准服务”场景应用矩阵；新生入学报到情况做到实时精准显示，对来自疫情风险地区学生实现精准提示；学生毕业从过去8个手工流程合并成1个智能通办；学生素质评价从过去接近1个月的人工计算到现在30分钟自动生成结果。建成“鸿云相约”特色应用矩阵，实施“精准关爱”行动，践行“诉说与倾听”教育使命。该应用由“诉说与倾听”师生餐叙、师生交流、鸿云朋辈、专业解惑（Office Hours）四个场景子应用和一个专题活动应用构成，寻求未来大学更为融洽的师生共同体交流新模式。</w:t>
      </w:r>
    </w:p>
    <w:p>
      <w:pPr>
        <w:spacing w:line="560" w:lineRule="exact"/>
        <w:ind w:firstLine="641"/>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shd w:val="clear" w:color="auto" w:fill="FFFFFF"/>
        </w:rPr>
        <w:t>（2）教师发展多跨场景。</w:t>
      </w:r>
      <w:r>
        <w:rPr>
          <w:rFonts w:hint="eastAsia" w:ascii="仿宋_GB2312" w:hAnsi="仿宋_GB2312" w:eastAsia="仿宋_GB2312" w:cs="仿宋_GB2312"/>
          <w:color w:val="auto"/>
          <w:sz w:val="32"/>
          <w:szCs w:val="32"/>
          <w:shd w:val="clear" w:color="auto" w:fill="FFFFFF"/>
        </w:rPr>
        <w:t>专班由人事处为组长单位，聚焦教职员工职业生涯全周期服务管理，围绕教师发展目标，从优化事项流程、精简办事材料、缩短办理时间等方面入手，通过对教师发展管理进行数字化改革，从师德师风建设、人才引进、职称评审、岗位聘任、教师培训、教师考核、人才项目等方面建设全方位的集成应用，涵盖公开招聘、交流调动、岗位变动、解聘、退休等业务，提高办事效率，提升服务水平，打破部门壁垒，畅通信息渠道，实现“一张表单申请、一个平台联办”，提高教职工获得感、满意度。目前，学校已形成多跨场景专班指挥圈、部门负责人管理圈、师生之家窗口办事员联动圈以及由校“双代会”“学代会”等师生代表等组成的基层网格圈四级治理专班，形成“统一指挥、快速联动”的扁平化运转体系，第一时间针对一线收集的师生最新需求，比如找不到、没人管、跑得累等问题，整体性推进综合智治场景的不断迭代，推出了以“新教工40分钟完成全流程报到”“科研标书材料用印申请”等为代表的重塑制度规则，进而推动大业务流程再造的代表性多跨流程。</w:t>
      </w:r>
    </w:p>
    <w:p>
      <w:pPr>
        <w:spacing w:line="560" w:lineRule="exact"/>
        <w:ind w:firstLine="641"/>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shd w:val="clear" w:color="auto" w:fill="FFFFFF"/>
        </w:rPr>
        <w:t>（3）纵向智治多跨场景。</w:t>
      </w:r>
      <w:r>
        <w:rPr>
          <w:rFonts w:hint="eastAsia" w:ascii="仿宋_GB2312" w:hAnsi="仿宋_GB2312" w:eastAsia="仿宋_GB2312" w:cs="仿宋_GB2312"/>
          <w:color w:val="auto"/>
          <w:sz w:val="32"/>
          <w:szCs w:val="32"/>
          <w:shd w:val="clear" w:color="auto" w:fill="FFFFFF"/>
        </w:rPr>
        <w:t>专班由校办为组长单位，研究强化大数据与空间信息在关联分析、综合指挥、趋势预测等方面的综合应用，应用仓流合一、数智中枢、商大数智基因等理论和技术，实现多源数据关联整合，增强决策与管理、服务的关联度，改善治理水平。统筹推进教育系统党建、学生综合素质评价、学生智慧资助应用、学生思想政治教育、平安校园建设、学校布局规划优化、智能教育督导、高等教育科研学术、教师队伍优化提升、大学生就业形势分析、教育开放合作等领域在数据赋能方面的协同应用。如</w:t>
      </w:r>
      <w:r>
        <w:rPr>
          <w:rFonts w:hint="eastAsia" w:ascii="仿宋_GB2312" w:hAnsi="仿宋_GB2312" w:eastAsia="仿宋_GB2312" w:cs="仿宋_GB2312"/>
          <w:color w:val="auto"/>
          <w:sz w:val="32"/>
          <w:szCs w:val="32"/>
        </w:rPr>
        <w:t>实验室通过数字融合</w:t>
      </w:r>
      <w:r>
        <w:rPr>
          <w:rFonts w:hint="eastAsia" w:ascii="仿宋_GB2312" w:hAnsi="仿宋_GB2312" w:eastAsia="仿宋_GB2312" w:cs="仿宋_GB2312"/>
          <w:color w:val="auto"/>
          <w:kern w:val="0"/>
          <w:sz w:val="32"/>
          <w:szCs w:val="32"/>
        </w:rPr>
        <w:t>推进全域治理，建立</w:t>
      </w:r>
      <w:r>
        <w:rPr>
          <w:rFonts w:hint="eastAsia" w:ascii="仿宋_GB2312" w:hAnsi="仿宋_GB2312" w:eastAsia="仿宋_GB2312" w:cs="仿宋_GB2312"/>
          <w:color w:val="auto"/>
          <w:sz w:val="32"/>
          <w:szCs w:val="32"/>
        </w:rPr>
        <w:t>“用数据说话、用数据决策、用数据管理、用数据创新”的SDMI治理机制，以“一个平台管数据、N个场景办业务、1套指标评治理”多跨安全治理、仪器共享、资金绩效等工作领域。“实验室全域数治融合平台”涉及分级分类、检查整改、化学品领用、预约共享、资金追踪、行为采集等13个维度数据归集，日均数据产生3400余条，形成实验室治理主体精准画像；基于融合平台动态数据，构建“综合治理评价指标”体系，包含安全管理、资源条件、成果效益、开放服务等4个一级指标、21个二级指标、76个三级指标，科学评价治理领域、管理过程、参与要素等协同治理效能，支撑政策与资源精准投放。实验室全域数治基于数据与算法双驱动的治理模式，以实现精准、实时和预防式的智慧治理体系，并以此塑造更具弹性、灵活性和调适性的治理运行机制。</w:t>
      </w:r>
    </w:p>
    <w:p>
      <w:pPr>
        <w:spacing w:line="560" w:lineRule="exact"/>
        <w:ind w:firstLine="641"/>
        <w:rPr>
          <w:rFonts w:ascii="仿宋_GB2312" w:hAnsi="仿宋" w:eastAsia="仿宋_GB2312"/>
          <w:color w:val="auto"/>
          <w:sz w:val="32"/>
          <w:szCs w:val="32"/>
        </w:rPr>
      </w:pPr>
      <w:r>
        <w:rPr>
          <w:rFonts w:hint="eastAsia" w:ascii="仿宋_GB2312" w:hAnsi="仿宋_GB2312" w:eastAsia="仿宋_GB2312" w:cs="仿宋_GB2312"/>
          <w:b/>
          <w:color w:val="auto"/>
          <w:sz w:val="32"/>
          <w:szCs w:val="32"/>
          <w:shd w:val="clear" w:color="auto" w:fill="FFFFFF"/>
        </w:rPr>
        <w:t>（4）校友服务多跨场景。</w:t>
      </w:r>
      <w:r>
        <w:rPr>
          <w:rFonts w:hint="eastAsia" w:ascii="仿宋_GB2312" w:hAnsi="仿宋_GB2312" w:eastAsia="仿宋_GB2312" w:cs="仿宋_GB2312"/>
          <w:color w:val="auto"/>
          <w:sz w:val="32"/>
          <w:szCs w:val="32"/>
          <w:shd w:val="clear" w:color="auto" w:fill="FFFFFF"/>
        </w:rPr>
        <w:t>专班由校友办为组长单位，以服务校友、联络校友、发展校友为工作目标，围绕校友发展周期和不同需求，为校友提供一站式远程支持服务，通过情感交流、终身学习、合作互助、感恩回馈等多维度线上体验，建设“有温度服务、高质量赋能”的校友应用平台，提升校友服务水平，增强校友情感交流，凝聚校友资源与力量，促进校友与母校共同发展。</w:t>
      </w:r>
    </w:p>
    <w:p>
      <w:pPr>
        <w:spacing w:line="560" w:lineRule="exact"/>
        <w:ind w:firstLine="615"/>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（四）2021年度工作绩效</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（1）发布数字高校“十四五”发展规划，发布数字高校1.0。</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（2）初步建成了校级公共数据平台。</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（3）完善了“我的商大”四位一体办事空间，建设了“商大百事通”、找教室、线上自助证明等特色应用，通过APP、微信、钉钉同步推出移动业务应用。</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（4）基于“仓流合一”理论创新，实现了“一码通办”，较好支撑了学生返校和学校常态化防疫。</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（5）发布商大驾驶舱，实现学校各类资源的整体有序、协同优化，打造学校整体智治机制。</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（6）支持校友服务，开发完成校友码，实现校友码消费功能，校庆时可以实现校友的入校、消费一码通办。</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（7）提出鸿云成长、鸿云教学、鸿云关爱等鸿云品牌，实现鸿云相约等功能。</w:t>
      </w:r>
    </w:p>
    <w:p>
      <w:pPr>
        <w:spacing w:line="560" w:lineRule="exact"/>
        <w:ind w:firstLine="615"/>
        <w:rPr>
          <w:rFonts w:ascii="仿宋_GB2312" w:hAnsi="仿宋" w:eastAsia="仿宋_GB2312"/>
          <w:color w:val="auto"/>
          <w:sz w:val="32"/>
          <w:szCs w:val="32"/>
        </w:rPr>
      </w:pPr>
      <w:r>
        <w:rPr>
          <w:rFonts w:hint="eastAsia" w:ascii="仿宋_GB2312" w:hAnsi="仿宋" w:eastAsia="仿宋_GB2312"/>
          <w:color w:val="auto"/>
          <w:sz w:val="32"/>
          <w:szCs w:val="32"/>
        </w:rPr>
        <w:t>（8）积极实施智慧防疫，完成所有门岗码机的更换，提升了核验响应速度。</w:t>
      </w:r>
    </w:p>
    <w:p>
      <w:pPr>
        <w:spacing w:line="560" w:lineRule="exact"/>
        <w:ind w:firstLine="640" w:firstLineChars="200"/>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四、2021年度经费使用情况</w:t>
      </w:r>
    </w:p>
    <w:p>
      <w:pPr>
        <w:pStyle w:val="2"/>
        <w:rPr>
          <w:rFonts w:hint="eastAsia" w:ascii="黑体" w:hAnsi="黑体" w:eastAsia="黑体" w:cs="黑体"/>
          <w:bCs/>
          <w:color w:val="auto"/>
          <w:sz w:val="32"/>
          <w:szCs w:val="32"/>
          <w:shd w:val="clear" w:color="auto" w:fill="FFFFFF"/>
        </w:rPr>
      </w:pPr>
    </w:p>
    <w:p>
      <w:pPr>
        <w:pStyle w:val="2"/>
        <w:rPr>
          <w:rFonts w:hint="eastAsia" w:ascii="黑体" w:hAnsi="黑体" w:eastAsia="黑体" w:cs="黑体"/>
          <w:bCs/>
          <w:color w:val="auto"/>
          <w:sz w:val="32"/>
          <w:szCs w:val="32"/>
          <w:shd w:val="clear" w:color="auto" w:fill="FFFFFF"/>
        </w:rPr>
      </w:pPr>
    </w:p>
    <w:p>
      <w:pPr>
        <w:pStyle w:val="2"/>
        <w:rPr>
          <w:rFonts w:hint="eastAsia" w:ascii="黑体" w:hAnsi="黑体" w:eastAsia="黑体" w:cs="黑体"/>
          <w:bCs/>
          <w:color w:val="auto"/>
          <w:sz w:val="32"/>
          <w:szCs w:val="32"/>
          <w:shd w:val="clear" w:color="auto" w:fill="FFFFFF"/>
        </w:rPr>
      </w:pPr>
    </w:p>
    <w:p>
      <w:pPr>
        <w:pStyle w:val="2"/>
        <w:rPr>
          <w:rFonts w:hint="eastAsia" w:ascii="黑体" w:hAnsi="黑体" w:eastAsia="黑体" w:cs="黑体"/>
          <w:bCs/>
          <w:color w:val="auto"/>
          <w:sz w:val="32"/>
          <w:szCs w:val="32"/>
          <w:shd w:val="clear" w:color="auto" w:fill="FFFFFF"/>
        </w:rPr>
      </w:pPr>
    </w:p>
    <w:p>
      <w:pPr>
        <w:pStyle w:val="2"/>
        <w:rPr>
          <w:rFonts w:hint="eastAsia" w:ascii="黑体" w:hAnsi="黑体" w:eastAsia="黑体" w:cs="黑体"/>
          <w:bCs/>
          <w:color w:val="auto"/>
          <w:sz w:val="32"/>
          <w:szCs w:val="32"/>
          <w:shd w:val="clear" w:color="auto" w:fill="FFFFFF"/>
        </w:rPr>
      </w:pPr>
    </w:p>
    <w:p>
      <w:pPr>
        <w:pStyle w:val="2"/>
        <w:rPr>
          <w:rFonts w:hint="eastAsia" w:ascii="黑体" w:hAnsi="黑体" w:eastAsia="黑体" w:cs="黑体"/>
          <w:bCs/>
          <w:color w:val="auto"/>
          <w:sz w:val="32"/>
          <w:szCs w:val="32"/>
          <w:shd w:val="clear" w:color="auto" w:fill="FFFFFF"/>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385"/>
        <w:gridCol w:w="3186"/>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2385" w:type="dxa"/>
            <w:vAlign w:val="center"/>
          </w:tcPr>
          <w:p>
            <w:pPr>
              <w:spacing w:line="56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使用部门</w:t>
            </w:r>
          </w:p>
        </w:tc>
        <w:tc>
          <w:tcPr>
            <w:tcW w:w="3186" w:type="dxa"/>
            <w:vAlign w:val="center"/>
          </w:tcPr>
          <w:p>
            <w:pPr>
              <w:spacing w:line="56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项目名称</w:t>
            </w:r>
          </w:p>
        </w:tc>
        <w:tc>
          <w:tcPr>
            <w:tcW w:w="1838" w:type="dxa"/>
            <w:vAlign w:val="center"/>
          </w:tcPr>
          <w:p>
            <w:pPr>
              <w:spacing w:line="56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线下办事大厅LED大屏</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50.51万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线下办事大厅数据大屏应用开发</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18.9万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数字高校密度服务器、自助打印终端机、叫号屏等采购</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16.4</w:t>
            </w:r>
            <w:r>
              <w:rPr>
                <w:rFonts w:hint="eastAsia" w:ascii="仿宋_GB2312" w:hAnsi="仿宋_GB2312" w:eastAsia="仿宋_GB2312" w:cs="仿宋_GB2312"/>
                <w:color w:val="auto"/>
                <w:sz w:val="24"/>
                <w:lang w:val="en-US" w:eastAsia="zh-CN"/>
              </w:rPr>
              <w:t>7</w:t>
            </w:r>
            <w:r>
              <w:rPr>
                <w:rFonts w:hint="eastAsia" w:ascii="仿宋_GB2312" w:hAnsi="仿宋_GB2312" w:eastAsia="仿宋_GB2312" w:cs="仿宋_GB2312"/>
                <w:color w:val="auto"/>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师生之家办公电脑、打印机</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26.1</w:t>
            </w:r>
            <w:r>
              <w:rPr>
                <w:rFonts w:hint="eastAsia" w:ascii="仿宋_GB2312" w:hAnsi="仿宋_GB2312" w:eastAsia="仿宋_GB2312" w:cs="仿宋_GB2312"/>
                <w:color w:val="auto"/>
                <w:sz w:val="24"/>
                <w:lang w:val="en-US" w:eastAsia="zh-CN"/>
              </w:rPr>
              <w:t>9</w:t>
            </w:r>
            <w:r>
              <w:rPr>
                <w:rFonts w:hint="eastAsia" w:ascii="仿宋_GB2312" w:hAnsi="仿宋_GB2312" w:eastAsia="仿宋_GB2312" w:cs="仿宋_GB2312"/>
                <w:color w:val="auto"/>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融合全息投影硬件</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38.44万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融合全息投影内容制作</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40.75万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大数据智能分析平台</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数字化办公室</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帆软报表平台采购</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28.7万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组织部</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干部档案管理信息系统</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教务处</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本科毕业论文送检平台技术服务费</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9.95万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w:t>
            </w:r>
          </w:p>
        </w:tc>
        <w:tc>
          <w:tcPr>
            <w:tcW w:w="2385"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学生处</w:t>
            </w:r>
          </w:p>
        </w:tc>
        <w:tc>
          <w:tcPr>
            <w:tcW w:w="3186"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浙江工商大学“上课啦”学勤管理系统</w:t>
            </w:r>
          </w:p>
        </w:tc>
        <w:tc>
          <w:tcPr>
            <w:tcW w:w="1838" w:type="dxa"/>
            <w:vAlign w:val="center"/>
          </w:tcPr>
          <w:p>
            <w:pPr>
              <w:spacing w:line="5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3" w:type="dxa"/>
            <w:vAlign w:val="center"/>
          </w:tcPr>
          <w:p>
            <w:pPr>
              <w:spacing w:line="560" w:lineRule="exact"/>
              <w:jc w:val="center"/>
              <w:rPr>
                <w:rFonts w:hint="eastAsia" w:ascii="仿宋_GB2312" w:hAnsi="仿宋_GB2312" w:eastAsia="仿宋_GB2312" w:cs="仿宋_GB2312"/>
                <w:color w:val="auto"/>
                <w:sz w:val="24"/>
              </w:rPr>
            </w:pPr>
          </w:p>
        </w:tc>
        <w:tc>
          <w:tcPr>
            <w:tcW w:w="2385" w:type="dxa"/>
            <w:vAlign w:val="center"/>
          </w:tcPr>
          <w:p>
            <w:pPr>
              <w:spacing w:line="560" w:lineRule="exact"/>
              <w:jc w:val="center"/>
              <w:rPr>
                <w:rFonts w:hint="eastAsia" w:ascii="仿宋_GB2312" w:hAnsi="仿宋_GB2312" w:eastAsia="仿宋_GB2312" w:cs="仿宋_GB2312"/>
                <w:color w:val="auto"/>
                <w:sz w:val="24"/>
              </w:rPr>
            </w:pPr>
          </w:p>
        </w:tc>
        <w:tc>
          <w:tcPr>
            <w:tcW w:w="3186" w:type="dxa"/>
            <w:vAlign w:val="center"/>
          </w:tcPr>
          <w:p>
            <w:pPr>
              <w:spacing w:line="560" w:lineRule="exact"/>
              <w:jc w:val="center"/>
              <w:rPr>
                <w:rFonts w:hint="eastAsia" w:ascii="仿宋_GB2312" w:hAnsi="仿宋_GB2312" w:eastAsia="仿宋_GB2312" w:cs="仿宋_GB2312"/>
                <w:b w:val="0"/>
                <w:bCs w:val="0"/>
                <w:color w:val="auto"/>
                <w:sz w:val="24"/>
                <w:lang w:val="en-US" w:eastAsia="zh-CN"/>
              </w:rPr>
            </w:pPr>
            <w:r>
              <w:rPr>
                <w:rFonts w:hint="eastAsia" w:ascii="仿宋_GB2312" w:hAnsi="仿宋_GB2312" w:eastAsia="仿宋_GB2312" w:cs="仿宋_GB2312"/>
                <w:b/>
                <w:bCs/>
                <w:color w:val="auto"/>
                <w:sz w:val="24"/>
                <w:lang w:val="en-US" w:eastAsia="zh-CN"/>
              </w:rPr>
              <w:t>合计</w:t>
            </w:r>
          </w:p>
        </w:tc>
        <w:tc>
          <w:tcPr>
            <w:tcW w:w="1838" w:type="dxa"/>
            <w:vAlign w:val="center"/>
          </w:tcPr>
          <w:p>
            <w:pPr>
              <w:spacing w:line="560" w:lineRule="exact"/>
              <w:jc w:val="center"/>
              <w:rPr>
                <w:rFonts w:hint="default" w:ascii="仿宋_GB2312" w:hAnsi="仿宋_GB2312" w:eastAsia="仿宋_GB2312" w:cs="仿宋_GB2312"/>
                <w:b w:val="0"/>
                <w:bCs w:val="0"/>
                <w:color w:val="auto"/>
                <w:sz w:val="24"/>
                <w:lang w:val="en-US" w:eastAsia="zh-CN"/>
              </w:rPr>
            </w:pPr>
            <w:r>
              <w:rPr>
                <w:rFonts w:hint="eastAsia" w:ascii="仿宋_GB2312" w:hAnsi="仿宋_GB2312" w:eastAsia="仿宋_GB2312" w:cs="仿宋_GB2312"/>
                <w:b w:val="0"/>
                <w:bCs w:val="0"/>
                <w:color w:val="auto"/>
                <w:sz w:val="24"/>
                <w:lang w:val="en-US" w:eastAsia="zh-CN"/>
              </w:rPr>
              <w:t>284.61万</w:t>
            </w:r>
          </w:p>
        </w:tc>
      </w:tr>
    </w:tbl>
    <w:p>
      <w:pPr>
        <w:spacing w:line="560" w:lineRule="exact"/>
        <w:rPr>
          <w:color w:val="auto"/>
          <w:sz w:val="32"/>
          <w:szCs w:val="32"/>
        </w:rPr>
      </w:pPr>
    </w:p>
    <w:p>
      <w:pPr>
        <w:rPr>
          <w:color w:val="auto"/>
        </w:rPr>
      </w:pPr>
      <w:r>
        <w:rPr>
          <w:color w:val="auto"/>
        </w:rPr>
        <w:br w:type="page"/>
      </w:r>
    </w:p>
    <w:p>
      <w:pPr>
        <w:pStyle w:val="3"/>
        <w:rPr>
          <w:color w:val="auto"/>
        </w:rPr>
      </w:pPr>
      <w:bookmarkStart w:id="52" w:name="_Toc103345075"/>
      <w:r>
        <w:rPr>
          <w:rFonts w:hint="eastAsia"/>
          <w:color w:val="auto"/>
        </w:rPr>
        <w:t>2021年选人用人工作公开报告</w:t>
      </w:r>
      <w:bookmarkEnd w:id="52"/>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学校党委坚持以习近平新时代中国特色社会主义思想为指导，全面贯彻新时代党的组织路线，以构建干部工作“一体系三机制”为牵引，推进干部队伍干部工作系统性重塑和选人用人高质量发展，锻造忠诚干净担当的高素质专业化干部队伍，为卓越大学建设提供坚强组织保证。</w:t>
      </w:r>
    </w:p>
    <w:p>
      <w:pPr>
        <w:spacing w:line="560" w:lineRule="exact"/>
        <w:ind w:firstLine="645"/>
        <w:rPr>
          <w:rFonts w:ascii="楷体_GB2312" w:hAnsi="楷体_GB2312" w:eastAsia="楷体_GB2312" w:cs="楷体_GB2312"/>
          <w:b/>
          <w:bCs/>
          <w:color w:val="auto"/>
          <w:sz w:val="32"/>
          <w:szCs w:val="32"/>
        </w:rPr>
      </w:pPr>
      <w:r>
        <w:rPr>
          <w:rFonts w:hint="eastAsia" w:ascii="楷体_GB2312" w:hAnsi="楷体_GB2312" w:eastAsia="楷体_GB2312" w:cs="楷体_GB2312"/>
          <w:b/>
          <w:color w:val="auto"/>
          <w:sz w:val="32"/>
          <w:szCs w:val="32"/>
        </w:rPr>
        <w:t>一、</w:t>
      </w:r>
      <w:r>
        <w:rPr>
          <w:rFonts w:hint="eastAsia" w:ascii="楷体_GB2312" w:hAnsi="楷体_GB2312" w:eastAsia="楷体_GB2312" w:cs="楷体_GB2312"/>
          <w:b/>
          <w:bCs/>
          <w:color w:val="auto"/>
          <w:sz w:val="32"/>
          <w:szCs w:val="32"/>
        </w:rPr>
        <w:t>坚持着眼长远需要，加强选人用人系统谋划</w:t>
      </w:r>
    </w:p>
    <w:p>
      <w:pPr>
        <w:spacing w:line="560" w:lineRule="exact"/>
        <w:ind w:firstLine="645"/>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是推进干部工作系统性重塑。党委专题学习研究省委“一体系三机制”文件，制定学校《党建与干部工作“十四五”发展规划（2021-2025）》《关于适应数字化改革要求加快建设变革型组织保障卓越大学建设的实施方案》，进一步明晰近五年干部工作目标、思路和举措，推动干部队伍干部工作系统性重塑。二是加强选人用人数字化改革。成立选人用人数字化改革专班，定期研究选人用人数字化改革，完成162名中层干部档案数字化工作，建好用好中层干部监督管理信息系统。三是做好省委巡视相关工作。全面开展上一轮巡视以来学校党委选人用人和干部不担当不作为自查自纠，认真落实省委巡视选人用人专项检查工作要求。</w:t>
      </w:r>
    </w:p>
    <w:p>
      <w:pPr>
        <w:spacing w:line="560" w:lineRule="exact"/>
        <w:ind w:firstLine="643" w:firstLineChars="200"/>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二、坚持政治首位导向，把牢选人用人政治标准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突出政治首位标准。将政治建设贯穿到选人用人全过程，筑牢干部“两个维护”政治忠诚。二是落实好干部标准。综合人岗相适及符合条件人数等情况，采取民主推荐或竞争上岗方式择优选拔优秀干部到合适岗位，涵养有利于好干部脱颖而出的政治生态。三是完善识别评价机制。将政治标准细化落实到干部选任原则、任职条件。明确干部政治素质考察10个方面负面情形。落实干部政治生态分析研判制度、政治监督制度，客观评价中层干部政治表现。</w:t>
      </w:r>
    </w:p>
    <w:p>
      <w:pPr>
        <w:adjustRightInd w:val="0"/>
        <w:snapToGrid w:val="0"/>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三、坚持事业为上导向，强化选人用人工作质量</w:t>
      </w:r>
    </w:p>
    <w:p>
      <w:pPr>
        <w:adjustRightInd w:val="0"/>
        <w:snapToGrid w:val="0"/>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是选优配强学术型中层干部。2021年，坚持实绩导向和学校事业发展需要，提拔使用中层干部18名，平级调整中层干部16名，其中提拔任用学科性学院院长、党委书记各3名，有较强学术背景要求部门正职2名，平级调整学科性学院院长2名。二是严控选人用人质量。梳理规范干部分析研判至任职等全过程各环节的关键事项和重点内容，制定选任工作流程图，严格落实干部考察“凡提四必”等要求，实行全流程纪实，强化人选审核把关，确保选任工作可倒查可追溯，防止干部带病上岗。三是强化干部考核结果运用。完成对32名中层干部试用期满考核，优化六级职员晋升五级职员条件。</w:t>
      </w:r>
    </w:p>
    <w:p>
      <w:pPr>
        <w:adjustRightInd w:val="0"/>
        <w:snapToGrid w:val="0"/>
        <w:spacing w:line="560" w:lineRule="exact"/>
        <w:ind w:firstLine="643" w:firstLineChars="200"/>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四、坚持系统接续培养，强化选人用人源头保障</w:t>
      </w:r>
    </w:p>
    <w:p>
      <w:pPr>
        <w:adjustRightInd w:val="0"/>
        <w:snapToGrid w:val="0"/>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一是明确新能力提升计划。制定《推进卓越大学建设干部新能力提升计划》，明确干部新能力提升培养的22项举措。二是推动干部能力素质提升。</w:t>
      </w:r>
      <w:r>
        <w:rPr>
          <w:rFonts w:hint="eastAsia" w:ascii="仿宋_GB2312" w:hAnsi="宋体" w:eastAsia="仿宋_GB2312" w:cs="宋体"/>
          <w:bCs/>
          <w:color w:val="auto"/>
          <w:sz w:val="32"/>
          <w:szCs w:val="32"/>
        </w:rPr>
        <w:t>选送31名干部参加省委党校、国家教育行政学院等培训，组织162名中层干部、283名基层党组织书记参加全省和全国高校党史学习教育培训，组织中层干部、主管岗和优秀青年干部参加浙江省领导干部网络学院网上学习，</w:t>
      </w:r>
      <w:r>
        <w:rPr>
          <w:rFonts w:hint="eastAsia" w:ascii="仿宋_GB2312" w:hAnsi="仿宋_GB2312" w:eastAsia="仿宋_GB2312" w:cs="仿宋_GB2312"/>
          <w:bCs/>
          <w:color w:val="auto"/>
          <w:sz w:val="32"/>
          <w:szCs w:val="32"/>
        </w:rPr>
        <w:t>选派15名干部到省直机关、地方政府等进行挂职锻炼。三是加强优秀年轻干部储备力度。加大优秀年轻干部发现储备力度，开展新一轮优秀年轻干部推荐遴选工作，动态调整形成167名优秀年轻干部库。</w:t>
      </w:r>
    </w:p>
    <w:p>
      <w:pPr>
        <w:adjustRightInd w:val="0"/>
        <w:snapToGrid w:val="0"/>
        <w:spacing w:line="560" w:lineRule="exact"/>
        <w:ind w:firstLine="643" w:firstLineChars="200"/>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五、坚持强化监督管理，保障选人用人精确准确</w:t>
      </w:r>
    </w:p>
    <w:p>
      <w:pPr>
        <w:adjustRightInd w:val="0"/>
        <w:snapToGrid w:val="0"/>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是健全干部监督工作机制。制定《关于常态化开展“向组织说说心里话”活动暂行办法》，定期分析干部队伍建设和运行情况，按季度向上级组织报送干部大监督信息。二是强化专项监督管理。开展干部兼职清理和因私出国（境）问题专项自查。做好领导干部个人事项报告工作，干部纪律规矩意识进一步增强，年度中层干部个人有关事项报告抽查核实比对一致率达100%。三是加强干部人事档案专项审核。完成对162名中层干部和789名高级职称教师干部人事档案的专项审核。四是从严落实保密要求。根据军工保密资质单位申请及管理要求，从严做好中层干部保密教育管理工作。</w:t>
      </w:r>
    </w:p>
    <w:p>
      <w:pPr>
        <w:adjustRightInd w:val="0"/>
        <w:snapToGrid w:val="0"/>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六、坚持问题短板导向，推动选人用人高质发展</w:t>
      </w:r>
    </w:p>
    <w:p>
      <w:pPr>
        <w:spacing w:line="560" w:lineRule="exact"/>
        <w:ind w:firstLine="640" w:firstLineChars="200"/>
        <w:rPr>
          <w:rFonts w:ascii="仿宋_GB2312" w:hAnsi="宋体" w:eastAsia="仿宋_GB2312" w:cs="宋体"/>
          <w:color w:val="auto"/>
          <w:kern w:val="0"/>
          <w:sz w:val="32"/>
          <w:szCs w:val="32"/>
          <w:lang w:val="zh-CN"/>
        </w:rPr>
      </w:pPr>
      <w:r>
        <w:rPr>
          <w:rFonts w:hint="eastAsia" w:ascii="仿宋_GB2312" w:hAnsi="仿宋_GB2312" w:eastAsia="仿宋_GB2312" w:cs="仿宋_GB2312"/>
          <w:bCs/>
          <w:color w:val="auto"/>
          <w:sz w:val="32"/>
          <w:szCs w:val="32"/>
        </w:rPr>
        <w:t>对标《高校选人用人高质量发展指标体系》，学校选人用人工作还存在干部队伍梯队建设不够优化及数字化改革进展不够快等问题。下一步，学校</w:t>
      </w:r>
      <w:r>
        <w:rPr>
          <w:rFonts w:ascii="仿宋_GB2312" w:hAnsi="仿宋_GB2312" w:eastAsia="仿宋_GB2312" w:cs="仿宋_GB2312"/>
          <w:bCs/>
          <w:color w:val="auto"/>
          <w:sz w:val="32"/>
          <w:szCs w:val="32"/>
        </w:rPr>
        <w:t>将认真做好</w:t>
      </w:r>
      <w:r>
        <w:rPr>
          <w:rFonts w:hint="eastAsia" w:ascii="仿宋_GB2312" w:hAnsi="仿宋_GB2312" w:eastAsia="仿宋_GB2312" w:cs="仿宋_GB2312"/>
          <w:bCs/>
          <w:color w:val="auto"/>
          <w:sz w:val="32"/>
          <w:szCs w:val="32"/>
        </w:rPr>
        <w:t>省委巡视和选人用人专项检查反馈</w:t>
      </w:r>
      <w:r>
        <w:rPr>
          <w:rFonts w:ascii="仿宋_GB2312" w:hAnsi="仿宋_GB2312" w:eastAsia="仿宋_GB2312" w:cs="仿宋_GB2312"/>
          <w:bCs/>
          <w:color w:val="auto"/>
          <w:sz w:val="32"/>
          <w:szCs w:val="32"/>
        </w:rPr>
        <w:t>意见</w:t>
      </w:r>
      <w:r>
        <w:rPr>
          <w:rFonts w:hint="eastAsia" w:ascii="仿宋_GB2312" w:hAnsi="仿宋_GB2312" w:eastAsia="仿宋_GB2312" w:cs="仿宋_GB2312"/>
          <w:bCs/>
          <w:color w:val="auto"/>
          <w:sz w:val="32"/>
          <w:szCs w:val="32"/>
        </w:rPr>
        <w:t>整改</w:t>
      </w:r>
      <w:r>
        <w:rPr>
          <w:rFonts w:ascii="仿宋_GB2312" w:hAnsi="仿宋_GB2312" w:eastAsia="仿宋_GB2312" w:cs="仿宋_GB2312"/>
          <w:bCs/>
          <w:color w:val="auto"/>
          <w:sz w:val="32"/>
          <w:szCs w:val="32"/>
        </w:rPr>
        <w:t>工作</w:t>
      </w:r>
      <w:r>
        <w:rPr>
          <w:rFonts w:hint="eastAsia" w:ascii="仿宋_GB2312" w:hAnsi="仿宋_GB2312" w:eastAsia="仿宋_GB2312" w:cs="仿宋_GB2312"/>
          <w:bCs/>
          <w:color w:val="auto"/>
          <w:sz w:val="32"/>
          <w:szCs w:val="32"/>
        </w:rPr>
        <w:t>，以数字化改革为动力，以中层干部集中换届为契机，以优秀年轻干部选拔培养为重点，持续推进选人用人高质量发展。</w:t>
      </w:r>
    </w:p>
    <w:p>
      <w:pPr>
        <w:pStyle w:val="2"/>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71212443"/>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sdt>
                    <w:sdtPr>
                      <w:id w:val="-971212443"/>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楷体_GB2312"/>
        <w:lang w:val="en-US" w:eastAsia="zh-CN"/>
      </w:rPr>
    </w:pPr>
    <w:r>
      <w:rPr>
        <w:rFonts w:hint="eastAsia" w:ascii="楷体_GB2312" w:eastAsia="楷体_GB2312"/>
        <w:sz w:val="21"/>
        <w:szCs w:val="21"/>
      </w:rPr>
      <w:t>校第十一届教职工代表大会暨第十三届工会会员代表大会第三次会议材料之</w:t>
    </w:r>
    <w:r>
      <w:rPr>
        <w:rFonts w:hint="eastAsia" w:ascii="楷体_GB2312" w:eastAsia="楷体_GB2312"/>
        <w:sz w:val="21"/>
        <w:szCs w:val="21"/>
        <w:lang w:val="en-US" w:eastAsia="zh-CN"/>
      </w:rPr>
      <w:t>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2020年校务公开报告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楷体_GB2312" w:hAnsi="楷体_GB2312" w:eastAsia="楷体_GB2312" w:cs="楷体_GB2312"/>
        <w:sz w:val="21"/>
        <w:szCs w:val="21"/>
      </w:rPr>
    </w:pPr>
    <w:r>
      <w:rPr>
        <w:rFonts w:hint="eastAsia" w:ascii="楷体_GB2312" w:hAnsi="楷体_GB2312" w:eastAsia="楷体_GB2312" w:cs="楷体_GB2312"/>
        <w:sz w:val="21"/>
        <w:szCs w:val="21"/>
      </w:rPr>
      <w:t>校第十一届教职工代表大会暨第十三届工会会员代表大会第三次会议材料之四</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楷体_GB2312" w:hAnsi="楷体_GB2312" w:eastAsia="楷体_GB2312" w:cs="楷体_GB2312"/>
        <w:sz w:val="21"/>
        <w:szCs w:val="21"/>
      </w:rPr>
    </w:pPr>
    <w:r>
      <w:rPr>
        <w:rFonts w:hint="eastAsia" w:ascii="楷体_GB2312" w:hAnsi="楷体_GB2312" w:eastAsia="楷体_GB2312" w:cs="楷体_GB2312"/>
        <w:sz w:val="21"/>
        <w:szCs w:val="21"/>
      </w:rPr>
      <w:t>2021年度校务公开报告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12B"/>
    <w:multiLevelType w:val="singleLevel"/>
    <w:tmpl w:val="0CD3112B"/>
    <w:lvl w:ilvl="0" w:tentative="0">
      <w:start w:val="1"/>
      <w:numFmt w:val="decimal"/>
      <w:suff w:val="nothing"/>
      <w:lvlText w:val="（%1）"/>
      <w:lvlJc w:val="left"/>
    </w:lvl>
  </w:abstractNum>
  <w:abstractNum w:abstractNumId="1">
    <w:nsid w:val="67B18CE2"/>
    <w:multiLevelType w:val="singleLevel"/>
    <w:tmpl w:val="67B18CE2"/>
    <w:lvl w:ilvl="0" w:tentative="0">
      <w:start w:val="2"/>
      <w:numFmt w:val="chineseCounting"/>
      <w:suff w:val="nothing"/>
      <w:lvlText w:val="%1、"/>
      <w:lvlJc w:val="left"/>
      <w:rPr>
        <w:rFonts w:hint="eastAsia"/>
      </w:rPr>
    </w:lvl>
  </w:abstractNum>
  <w:abstractNum w:abstractNumId="2">
    <w:nsid w:val="693EEE9D"/>
    <w:multiLevelType w:val="singleLevel"/>
    <w:tmpl w:val="693EEE9D"/>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YWI3Y2JmNTY4NTlmNmExODEyM2MzYjIzZmI2MzkifQ=="/>
  </w:docVars>
  <w:rsids>
    <w:rsidRoot w:val="00D674E9"/>
    <w:rsid w:val="000311ED"/>
    <w:rsid w:val="0010781D"/>
    <w:rsid w:val="001103AE"/>
    <w:rsid w:val="00130AC1"/>
    <w:rsid w:val="001E336B"/>
    <w:rsid w:val="002074A6"/>
    <w:rsid w:val="002506DF"/>
    <w:rsid w:val="0028257C"/>
    <w:rsid w:val="00334E44"/>
    <w:rsid w:val="00492C33"/>
    <w:rsid w:val="007D06AC"/>
    <w:rsid w:val="008218F2"/>
    <w:rsid w:val="008D7636"/>
    <w:rsid w:val="00933D86"/>
    <w:rsid w:val="0099369E"/>
    <w:rsid w:val="00995614"/>
    <w:rsid w:val="009B0B8D"/>
    <w:rsid w:val="00A24F7E"/>
    <w:rsid w:val="00A3115E"/>
    <w:rsid w:val="00A71A15"/>
    <w:rsid w:val="00A72477"/>
    <w:rsid w:val="00A970C9"/>
    <w:rsid w:val="00AB3459"/>
    <w:rsid w:val="00B05774"/>
    <w:rsid w:val="00B5084B"/>
    <w:rsid w:val="00B70390"/>
    <w:rsid w:val="00BD0608"/>
    <w:rsid w:val="00C625E1"/>
    <w:rsid w:val="00CA635C"/>
    <w:rsid w:val="00CB4AA8"/>
    <w:rsid w:val="00CF29E7"/>
    <w:rsid w:val="00D56BD8"/>
    <w:rsid w:val="00D674E9"/>
    <w:rsid w:val="00D8185D"/>
    <w:rsid w:val="00DE3AE2"/>
    <w:rsid w:val="00ED29DD"/>
    <w:rsid w:val="00F33B00"/>
    <w:rsid w:val="00F75583"/>
    <w:rsid w:val="01D63E84"/>
    <w:rsid w:val="04E67730"/>
    <w:rsid w:val="0C3561DD"/>
    <w:rsid w:val="101C1DE4"/>
    <w:rsid w:val="137A0832"/>
    <w:rsid w:val="1BB22250"/>
    <w:rsid w:val="1D8F457C"/>
    <w:rsid w:val="1E79638E"/>
    <w:rsid w:val="2DFC663E"/>
    <w:rsid w:val="34AD4BCA"/>
    <w:rsid w:val="3B3634C1"/>
    <w:rsid w:val="41032081"/>
    <w:rsid w:val="48233831"/>
    <w:rsid w:val="4DFE7D8A"/>
    <w:rsid w:val="4FAD2CBE"/>
    <w:rsid w:val="546854F0"/>
    <w:rsid w:val="54ED65BF"/>
    <w:rsid w:val="5F1271A1"/>
    <w:rsid w:val="61072176"/>
    <w:rsid w:val="613F0A5C"/>
    <w:rsid w:val="68A5389A"/>
    <w:rsid w:val="69D45D4B"/>
    <w:rsid w:val="6A626185"/>
    <w:rsid w:val="6D0D2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5"/>
    <w:qFormat/>
    <w:uiPriority w:val="0"/>
    <w:pPr>
      <w:keepNext/>
      <w:keepLines/>
      <w:spacing w:before="340" w:after="330" w:line="440" w:lineRule="exact"/>
      <w:jc w:val="center"/>
      <w:outlineLvl w:val="0"/>
    </w:pPr>
    <w:rPr>
      <w:rFonts w:ascii="Times New Roman" w:hAnsi="Times New Roman" w:eastAsia="方正小标宋简体"/>
      <w:b/>
      <w:bCs/>
      <w:kern w:val="44"/>
      <w:sz w:val="44"/>
      <w:szCs w:val="44"/>
    </w:rPr>
  </w:style>
  <w:style w:type="paragraph" w:styleId="4">
    <w:name w:val="heading 3"/>
    <w:basedOn w:val="1"/>
    <w:next w:val="1"/>
    <w:link w:val="26"/>
    <w:qFormat/>
    <w:uiPriority w:val="0"/>
    <w:pPr>
      <w:keepNext/>
      <w:keepLines/>
      <w:spacing w:before="260" w:after="260" w:line="416" w:lineRule="auto"/>
      <w:outlineLvl w:val="2"/>
    </w:pPr>
    <w:rPr>
      <w:rFonts w:ascii="Times New Roman" w:hAnsi="Times New Roman"/>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left="420" w:leftChars="200"/>
    </w:pPr>
    <w:rPr>
      <w:rFonts w:ascii="Times New Roman" w:hAnsi="Times New Roman"/>
    </w:rPr>
  </w:style>
  <w:style w:type="paragraph" w:styleId="5">
    <w:name w:val="annotation text"/>
    <w:basedOn w:val="1"/>
    <w:link w:val="21"/>
    <w:semiHidden/>
    <w:unhideWhenUsed/>
    <w:qFormat/>
    <w:uiPriority w:val="99"/>
    <w:pPr>
      <w:jc w:val="left"/>
    </w:pPr>
  </w:style>
  <w:style w:type="paragraph" w:styleId="6">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7">
    <w:name w:val="Balloon Text"/>
    <w:basedOn w:val="1"/>
    <w:link w:val="22"/>
    <w:unhideWhenUsed/>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1">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6">
    <w:name w:val="FollowedHyperlink"/>
    <w:qFormat/>
    <w:uiPriority w:val="0"/>
    <w:rPr>
      <w:color w:val="954F72"/>
      <w:u w:val="single"/>
    </w:rPr>
  </w:style>
  <w:style w:type="character" w:styleId="17">
    <w:name w:val="Hyperlink"/>
    <w:unhideWhenUsed/>
    <w:qFormat/>
    <w:uiPriority w:val="99"/>
    <w:rPr>
      <w:color w:val="0563C1"/>
      <w:u w:val="single"/>
    </w:rPr>
  </w:style>
  <w:style w:type="character" w:styleId="18">
    <w:name w:val="annotation reference"/>
    <w:basedOn w:val="15"/>
    <w:semiHidden/>
    <w:unhideWhenUsed/>
    <w:qFormat/>
    <w:uiPriority w:val="99"/>
    <w:rPr>
      <w:sz w:val="21"/>
      <w:szCs w:val="21"/>
    </w:rPr>
  </w:style>
  <w:style w:type="character" w:customStyle="1" w:styleId="19">
    <w:name w:val="页眉 字符1"/>
    <w:basedOn w:val="15"/>
    <w:link w:val="9"/>
    <w:qFormat/>
    <w:uiPriority w:val="99"/>
    <w:rPr>
      <w:sz w:val="18"/>
      <w:szCs w:val="18"/>
    </w:rPr>
  </w:style>
  <w:style w:type="character" w:customStyle="1" w:styleId="20">
    <w:name w:val="页脚 字符1"/>
    <w:basedOn w:val="15"/>
    <w:link w:val="8"/>
    <w:qFormat/>
    <w:uiPriority w:val="99"/>
    <w:rPr>
      <w:sz w:val="18"/>
      <w:szCs w:val="18"/>
    </w:rPr>
  </w:style>
  <w:style w:type="character" w:customStyle="1" w:styleId="21">
    <w:name w:val="批注文字 字符"/>
    <w:basedOn w:val="15"/>
    <w:link w:val="5"/>
    <w:semiHidden/>
    <w:qFormat/>
    <w:uiPriority w:val="99"/>
    <w:rPr>
      <w:rFonts w:ascii="Calibri" w:hAnsi="Calibri" w:eastAsia="宋体" w:cs="Times New Roman"/>
      <w:szCs w:val="24"/>
    </w:rPr>
  </w:style>
  <w:style w:type="character" w:customStyle="1" w:styleId="22">
    <w:name w:val="批注框文本 字符1"/>
    <w:basedOn w:val="15"/>
    <w:link w:val="7"/>
    <w:semiHidden/>
    <w:qFormat/>
    <w:uiPriority w:val="99"/>
    <w:rPr>
      <w:rFonts w:ascii="Calibri" w:hAnsi="Calibri" w:eastAsia="宋体" w:cs="Times New Roman"/>
      <w:sz w:val="18"/>
      <w:szCs w:val="18"/>
    </w:rPr>
  </w:style>
  <w:style w:type="character" w:customStyle="1" w:styleId="23">
    <w:name w:val="标题 1 Char"/>
    <w:basedOn w:val="15"/>
    <w:qFormat/>
    <w:uiPriority w:val="9"/>
    <w:rPr>
      <w:rFonts w:ascii="Calibri" w:hAnsi="Calibri" w:eastAsia="宋体" w:cs="Times New Roman"/>
      <w:b/>
      <w:bCs/>
      <w:kern w:val="44"/>
      <w:sz w:val="44"/>
      <w:szCs w:val="44"/>
    </w:rPr>
  </w:style>
  <w:style w:type="character" w:customStyle="1" w:styleId="24">
    <w:name w:val="标题 3 Char"/>
    <w:basedOn w:val="15"/>
    <w:semiHidden/>
    <w:qFormat/>
    <w:uiPriority w:val="0"/>
    <w:rPr>
      <w:rFonts w:ascii="Calibri" w:hAnsi="Calibri" w:eastAsia="宋体" w:cs="Times New Roman"/>
      <w:b/>
      <w:bCs/>
      <w:sz w:val="32"/>
      <w:szCs w:val="32"/>
    </w:rPr>
  </w:style>
  <w:style w:type="character" w:customStyle="1" w:styleId="25">
    <w:name w:val="标题 1 字符"/>
    <w:link w:val="3"/>
    <w:qFormat/>
    <w:uiPriority w:val="0"/>
    <w:rPr>
      <w:rFonts w:ascii="Times New Roman" w:hAnsi="Times New Roman" w:eastAsia="方正小标宋简体" w:cs="Times New Roman"/>
      <w:b/>
      <w:bCs/>
      <w:kern w:val="44"/>
      <w:sz w:val="44"/>
      <w:szCs w:val="44"/>
    </w:rPr>
  </w:style>
  <w:style w:type="character" w:customStyle="1" w:styleId="26">
    <w:name w:val="标题 3 字符"/>
    <w:link w:val="4"/>
    <w:qFormat/>
    <w:uiPriority w:val="0"/>
    <w:rPr>
      <w:rFonts w:ascii="Times New Roman" w:hAnsi="Times New Roman" w:eastAsia="宋体" w:cs="Times New Roman"/>
      <w:b/>
      <w:bCs/>
      <w:sz w:val="32"/>
      <w:szCs w:val="32"/>
    </w:rPr>
  </w:style>
  <w:style w:type="character" w:customStyle="1" w:styleId="27">
    <w:name w:val="fontstyle01"/>
    <w:qFormat/>
    <w:uiPriority w:val="0"/>
    <w:rPr>
      <w:rFonts w:ascii="宋体" w:hAnsi="宋体" w:eastAsia="宋体" w:cs="宋体"/>
      <w:color w:val="000000"/>
      <w:sz w:val="24"/>
      <w:szCs w:val="24"/>
    </w:rPr>
  </w:style>
  <w:style w:type="character" w:customStyle="1" w:styleId="28">
    <w:name w:val="新新标题 Char"/>
    <w:link w:val="29"/>
    <w:qFormat/>
    <w:uiPriority w:val="0"/>
    <w:rPr>
      <w:rFonts w:eastAsia="方正小标宋简体"/>
      <w:sz w:val="36"/>
      <w:szCs w:val="24"/>
    </w:rPr>
  </w:style>
  <w:style w:type="paragraph" w:customStyle="1" w:styleId="29">
    <w:name w:val="新新标题"/>
    <w:basedOn w:val="1"/>
    <w:link w:val="28"/>
    <w:qFormat/>
    <w:uiPriority w:val="0"/>
    <w:pPr>
      <w:jc w:val="center"/>
    </w:pPr>
    <w:rPr>
      <w:rFonts w:eastAsia="方正小标宋简体" w:asciiTheme="minorHAnsi" w:hAnsiTheme="minorHAnsi" w:cstheme="minorBidi"/>
      <w:sz w:val="36"/>
    </w:rPr>
  </w:style>
  <w:style w:type="character" w:customStyle="1" w:styleId="30">
    <w:name w:val="页眉 字符"/>
    <w:basedOn w:val="15"/>
    <w:qFormat/>
    <w:uiPriority w:val="0"/>
    <w:rPr>
      <w:kern w:val="2"/>
      <w:sz w:val="18"/>
      <w:szCs w:val="18"/>
    </w:rPr>
  </w:style>
  <w:style w:type="character" w:customStyle="1" w:styleId="31">
    <w:name w:val="页脚 字符"/>
    <w:qFormat/>
    <w:uiPriority w:val="99"/>
    <w:rPr>
      <w:kern w:val="2"/>
      <w:sz w:val="18"/>
      <w:szCs w:val="18"/>
    </w:rPr>
  </w:style>
  <w:style w:type="character" w:customStyle="1" w:styleId="32">
    <w:name w:val="标题二 Char"/>
    <w:link w:val="33"/>
    <w:qFormat/>
    <w:uiPriority w:val="0"/>
    <w:rPr>
      <w:rFonts w:ascii="楷体_GB2312" w:eastAsia="楷体_GB2312"/>
      <w:b/>
      <w:sz w:val="32"/>
      <w:szCs w:val="32"/>
    </w:rPr>
  </w:style>
  <w:style w:type="paragraph" w:customStyle="1" w:styleId="33">
    <w:name w:val="标题二"/>
    <w:basedOn w:val="29"/>
    <w:link w:val="32"/>
    <w:qFormat/>
    <w:uiPriority w:val="0"/>
    <w:pPr>
      <w:spacing w:line="560" w:lineRule="exact"/>
      <w:ind w:firstLine="643" w:firstLineChars="200"/>
      <w:jc w:val="left"/>
    </w:pPr>
    <w:rPr>
      <w:rFonts w:ascii="楷体_GB2312" w:eastAsia="楷体_GB2312"/>
      <w:b/>
      <w:sz w:val="32"/>
      <w:szCs w:val="32"/>
    </w:rPr>
  </w:style>
  <w:style w:type="character" w:customStyle="1" w:styleId="34">
    <w:name w:val="批注框文本 字符"/>
    <w:qFormat/>
    <w:uiPriority w:val="0"/>
    <w:rPr>
      <w:kern w:val="2"/>
      <w:sz w:val="18"/>
      <w:szCs w:val="18"/>
    </w:rPr>
  </w:style>
  <w:style w:type="paragraph" w:customStyle="1" w:styleId="35">
    <w:name w:val="_Style 27"/>
    <w:basedOn w:val="1"/>
    <w:next w:val="36"/>
    <w:qFormat/>
    <w:uiPriority w:val="34"/>
    <w:pPr>
      <w:ind w:firstLine="420" w:firstLineChars="200"/>
    </w:pPr>
    <w:rPr>
      <w:rFonts w:ascii="Times New Roman" w:hAnsi="Times New Roman"/>
    </w:rPr>
  </w:style>
  <w:style w:type="paragraph" w:styleId="36">
    <w:name w:val="List Paragraph"/>
    <w:basedOn w:val="1"/>
    <w:qFormat/>
    <w:uiPriority w:val="34"/>
    <w:pPr>
      <w:ind w:firstLine="420" w:firstLineChars="200"/>
    </w:pPr>
  </w:style>
  <w:style w:type="paragraph" w:customStyle="1" w:styleId="37">
    <w:name w:val="列出段落1"/>
    <w:basedOn w:val="1"/>
    <w:qFormat/>
    <w:uiPriority w:val="0"/>
    <w:pPr>
      <w:ind w:firstLine="420" w:firstLineChars="200"/>
    </w:pPr>
    <w:rPr>
      <w:rFonts w:ascii="Times New Roman" w:hAnsi="Times New Roman"/>
    </w:rPr>
  </w:style>
  <w:style w:type="paragraph" w:customStyle="1" w:styleId="38">
    <w:name w:val="新标题标题"/>
    <w:basedOn w:val="1"/>
    <w:qFormat/>
    <w:uiPriority w:val="0"/>
    <w:pPr>
      <w:jc w:val="center"/>
    </w:pPr>
    <w:rPr>
      <w:rFonts w:ascii="Times New Roman" w:hAnsi="Times New Roman" w:eastAsia="微软雅黑"/>
      <w:sz w:val="44"/>
    </w:rPr>
  </w:style>
  <w:style w:type="paragraph" w:customStyle="1" w:styleId="3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0">
    <w:name w:val="TOC 标题1"/>
    <w:basedOn w:val="3"/>
    <w:next w:val="1"/>
    <w:qFormat/>
    <w:uiPriority w:val="39"/>
    <w:pPr>
      <w:widowControl/>
      <w:spacing w:before="240" w:after="0" w:line="259" w:lineRule="auto"/>
      <w:jc w:val="left"/>
      <w:outlineLvl w:val="9"/>
    </w:pPr>
    <w:rPr>
      <w:rFonts w:ascii="Calibri Light" w:hAnsi="Calibri Light" w:eastAsia="宋体"/>
      <w:b w:val="0"/>
      <w:bCs w:val="0"/>
      <w:color w:val="2E74B5"/>
      <w:kern w:val="0"/>
      <w:sz w:val="32"/>
      <w:szCs w:val="32"/>
    </w:rPr>
  </w:style>
  <w:style w:type="paragraph" w:customStyle="1" w:styleId="41">
    <w:name w:val="Char Char Char Char"/>
    <w:basedOn w:val="1"/>
    <w:qFormat/>
    <w:uiPriority w:val="0"/>
    <w:rPr>
      <w:rFonts w:ascii="Tahoma" w:hAnsi="Tahoma"/>
      <w:sz w:val="24"/>
      <w:szCs w:val="20"/>
    </w:rPr>
  </w:style>
  <w:style w:type="paragraph" w:customStyle="1" w:styleId="42">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D03A8-D232-4459-8F74-61B6CCEFC9C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26935</Words>
  <Characters>28556</Characters>
  <Lines>212</Lines>
  <Paragraphs>59</Paragraphs>
  <TotalTime>11</TotalTime>
  <ScaleCrop>false</ScaleCrop>
  <LinksUpToDate>false</LinksUpToDate>
  <CharactersWithSpaces>28638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2021-06-11T07:18:00Z</dcterms:created>
  <dc:creator>陈永春</dc:creator>
  <cp:lastModifiedBy>杨尚雷</cp:lastModifiedBy>
  <cp:lastPrinted>2022-05-13T06:24:00Z</cp:lastPrinted>
  <dcterms:modified xsi:type="dcterms:W3CDTF">2022-09-16T11:49:23Z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7A4A1AD2AB9F431D94E3050094D913C6</vt:lpwstr>
  </property>
</Properties>
</file>